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1"/>
        <w:ind/>
        <w:jc w:val="center"/>
        <w:rPr>
          <w:rFonts w:ascii="XO Thames" w:hAnsi="XO Thames"/>
          <w:b w:val="1"/>
        </w:rPr>
      </w:pPr>
      <w:r>
        <w:rPr>
          <w:rFonts w:ascii="XO Thames" w:hAnsi="XO Thames"/>
          <w:b w:val="1"/>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14:paraId="07000000">
      <w:pPr>
        <w:widowControl w:val="1"/>
        <w:ind/>
        <w:jc w:val="center"/>
        <w:rPr>
          <w:rFonts w:ascii="XO Thames" w:hAnsi="XO Thames"/>
          <w:b w:val="1"/>
          <w:sz w:val="32"/>
        </w:rPr>
      </w:pPr>
    </w:p>
    <w:p w14:paraId="08000000">
      <w:pPr>
        <w:widowControl w:val="1"/>
        <w:ind/>
        <w:jc w:val="center"/>
        <w:rPr>
          <w:rFonts w:ascii="XO Thames" w:hAnsi="XO Thames"/>
          <w:b w:val="1"/>
          <w:sz w:val="32"/>
        </w:rPr>
      </w:pPr>
    </w:p>
    <w:p w14:paraId="09000000">
      <w:pPr>
        <w:widowControl w:val="1"/>
        <w:ind/>
        <w:jc w:val="center"/>
        <w:rPr>
          <w:rFonts w:ascii="XO Thames" w:hAnsi="XO Thames"/>
          <w:b w:val="1"/>
          <w:sz w:val="28"/>
        </w:rPr>
      </w:pPr>
      <w:r>
        <w:rPr>
          <w:rFonts w:ascii="XO Thames" w:hAnsi="XO Thames"/>
          <w:b w:val="1"/>
          <w:sz w:val="28"/>
        </w:rPr>
        <w:t>ИНФОРМАЦИОННОЕ СООБЩЕНИЕ</w:t>
      </w:r>
    </w:p>
    <w:p w14:paraId="0A000000">
      <w:pPr>
        <w:widowControl w:val="1"/>
        <w:ind w:left="-80" w:right="-119"/>
        <w:jc w:val="center"/>
        <w:rPr>
          <w:rFonts w:ascii="XO Thames" w:hAnsi="XO Thames"/>
          <w:b w:val="1"/>
        </w:rPr>
      </w:pPr>
      <w:r>
        <w:rPr>
          <w:rFonts w:ascii="XO Thames" w:hAnsi="XO Thames"/>
          <w:b w:val="1"/>
        </w:rPr>
        <w:t>о проведении аукциона по продаже федерального имущества:</w:t>
      </w:r>
    </w:p>
    <w:p w14:paraId="0B000000">
      <w:pPr>
        <w:widowControl w:val="1"/>
        <w:ind w:left="-80" w:right="-119"/>
        <w:jc w:val="center"/>
        <w:rPr>
          <w:rFonts w:ascii="XO Thames" w:hAnsi="XO Thames"/>
          <w:b w:val="1"/>
        </w:rPr>
      </w:pPr>
    </w:p>
    <w:p w14:paraId="0C000000">
      <w:pPr>
        <w:widowControl w:val="1"/>
        <w:ind/>
        <w:jc w:val="center"/>
        <w:rPr>
          <w:b w:val="1"/>
          <w:sz w:val="28"/>
        </w:rPr>
      </w:pPr>
      <w:r>
        <w:rPr>
          <w:rFonts w:ascii="Times New Roman" w:hAnsi="Times New Roman"/>
          <w:b w:val="1"/>
          <w:sz w:val="28"/>
        </w:rPr>
        <w:t xml:space="preserve">земельного участка площадью </w:t>
      </w:r>
      <w:r>
        <w:rPr>
          <w:rFonts w:ascii="Times New Roman" w:hAnsi="Times New Roman"/>
          <w:b w:val="1"/>
          <w:sz w:val="28"/>
        </w:rPr>
        <w:t>6781</w:t>
      </w:r>
      <w:r>
        <w:rPr>
          <w:rFonts w:ascii="Times New Roman" w:hAnsi="Times New Roman"/>
          <w:b w:val="1"/>
          <w:sz w:val="28"/>
        </w:rPr>
        <w:t xml:space="preserve"> </w:t>
      </w:r>
      <w:r>
        <w:rPr>
          <w:rFonts w:ascii="Times New Roman" w:hAnsi="Times New Roman"/>
          <w:b w:val="1"/>
          <w:sz w:val="28"/>
        </w:rPr>
        <w:t xml:space="preserve">кв. м с кадастровым номером </w:t>
      </w:r>
      <w:r>
        <w:rPr>
          <w:rFonts w:ascii="Times New Roman" w:hAnsi="Times New Roman"/>
          <w:b w:val="1"/>
          <w:sz w:val="28"/>
        </w:rPr>
        <w:t>22:15:050501:3935</w:t>
      </w:r>
      <w:r>
        <w:rPr>
          <w:rFonts w:ascii="Times New Roman" w:hAnsi="Times New Roman"/>
          <w:b w:val="1"/>
          <w:sz w:val="28"/>
        </w:rPr>
        <w:t xml:space="preserve">, РНФИ </w:t>
      </w:r>
      <w:r>
        <w:rPr>
          <w:rFonts w:ascii="Times New Roman" w:hAnsi="Times New Roman"/>
          <w:b w:val="1"/>
          <w:sz w:val="28"/>
        </w:rPr>
        <w:t>П11220172858</w:t>
      </w:r>
      <w:r>
        <w:rPr>
          <w:rFonts w:ascii="Times New Roman" w:hAnsi="Times New Roman"/>
          <w:b w:val="1"/>
          <w:sz w:val="28"/>
        </w:rPr>
        <w:t xml:space="preserve"> </w:t>
      </w:r>
      <w:r>
        <w:rPr>
          <w:rFonts w:ascii="Times New Roman" w:hAnsi="Times New Roman"/>
          <w:b w:val="1"/>
          <w:sz w:val="28"/>
        </w:rPr>
        <w:t xml:space="preserve">по адресу: </w:t>
      </w:r>
      <w:r>
        <w:rPr>
          <w:rFonts w:ascii="Times New Roman" w:hAnsi="Times New Roman"/>
          <w:b w:val="1"/>
          <w:sz w:val="28"/>
        </w:rPr>
        <w:t>Алтайский край, район Зональный, с. Зональное, ул. Ленина, 41</w:t>
      </w:r>
      <w:r>
        <w:rPr>
          <w:rFonts w:ascii="Times New Roman" w:hAnsi="Times New Roman"/>
          <w:b w:val="1"/>
          <w:sz w:val="28"/>
        </w:rPr>
        <w:t xml:space="preserve"> </w:t>
      </w:r>
      <w:r>
        <w:rPr>
          <w:rFonts w:ascii="Times New Roman" w:hAnsi="Times New Roman"/>
          <w:b w:val="1"/>
          <w:sz w:val="28"/>
        </w:rPr>
        <w:t>с расположенным на нем о</w:t>
      </w:r>
      <w:r>
        <w:rPr>
          <w:rFonts w:ascii="Times New Roman" w:hAnsi="Times New Roman"/>
          <w:b w:val="1"/>
          <w:sz w:val="28"/>
        </w:rPr>
        <w:t>бъектом недвижимого имущества - Лабораторией</w:t>
      </w:r>
      <w:r>
        <w:rPr>
          <w:rFonts w:ascii="Times New Roman" w:hAnsi="Times New Roman"/>
          <w:b w:val="1"/>
          <w:sz w:val="28"/>
        </w:rPr>
        <w:t xml:space="preserve"> </w:t>
      </w:r>
      <w:r>
        <w:rPr>
          <w:rFonts w:ascii="Times New Roman" w:hAnsi="Times New Roman"/>
          <w:b w:val="1"/>
          <w:sz w:val="28"/>
        </w:rPr>
        <w:t xml:space="preserve">площадью </w:t>
      </w:r>
      <w:r>
        <w:rPr>
          <w:rFonts w:ascii="Times New Roman" w:hAnsi="Times New Roman"/>
          <w:b w:val="1"/>
          <w:sz w:val="28"/>
        </w:rPr>
        <w:t>3214.1</w:t>
      </w:r>
      <w:r>
        <w:rPr>
          <w:rFonts w:ascii="Times New Roman" w:hAnsi="Times New Roman"/>
          <w:b w:val="1"/>
          <w:sz w:val="28"/>
        </w:rPr>
        <w:t xml:space="preserve"> </w:t>
      </w:r>
      <w:r>
        <w:rPr>
          <w:rFonts w:ascii="Times New Roman" w:hAnsi="Times New Roman"/>
          <w:b w:val="1"/>
          <w:sz w:val="28"/>
        </w:rPr>
        <w:t xml:space="preserve">кв. м с кадастровым номером </w:t>
      </w:r>
      <w:r>
        <w:rPr>
          <w:rFonts w:ascii="Times New Roman" w:hAnsi="Times New Roman"/>
          <w:b w:val="1"/>
          <w:sz w:val="28"/>
        </w:rPr>
        <w:t>22:15:050501:3426</w:t>
      </w:r>
      <w:r>
        <w:rPr>
          <w:rFonts w:ascii="Times New Roman" w:hAnsi="Times New Roman"/>
          <w:b w:val="1"/>
          <w:sz w:val="28"/>
        </w:rPr>
        <w:t xml:space="preserve">, РНФИ </w:t>
      </w:r>
      <w:r>
        <w:rPr>
          <w:rFonts w:ascii="Times New Roman" w:hAnsi="Times New Roman"/>
          <w:b w:val="1"/>
          <w:sz w:val="28"/>
        </w:rPr>
        <w:t>П12220011248</w:t>
      </w:r>
    </w:p>
    <w:p w14:paraId="0D000000">
      <w:pPr>
        <w:widowControl w:val="1"/>
        <w:spacing w:line="336" w:lineRule="auto"/>
        <w:ind w:firstLine="709"/>
        <w:contextualSpacing w:val="1"/>
        <w:jc w:val="center"/>
        <w:rPr>
          <w:b w:val="1"/>
        </w:rPr>
      </w:pPr>
      <w:r>
        <w:rPr>
          <w:b w:val="1"/>
          <w:i w:val="1"/>
        </w:rPr>
        <w:t>___________________________________</w:t>
      </w:r>
    </w:p>
    <w:p w14:paraId="0E000000">
      <w:pPr>
        <w:widowControl w:val="1"/>
        <w:ind/>
        <w:jc w:val="center"/>
        <w:rPr>
          <w:b w:val="1"/>
          <w:i w:val="1"/>
          <w:sz w:val="28"/>
        </w:rPr>
      </w:pPr>
    </w:p>
    <w:p w14:paraId="0F000000">
      <w:pPr>
        <w:widowControl w:val="1"/>
        <w:ind/>
        <w:jc w:val="center"/>
        <w:rPr>
          <w:b w:val="1"/>
          <w:i w:val="1"/>
          <w:sz w:val="28"/>
        </w:rPr>
      </w:pPr>
    </w:p>
    <w:p w14:paraId="10000000">
      <w:pPr>
        <w:widowControl w:val="1"/>
        <w:ind/>
        <w:jc w:val="center"/>
        <w:rPr>
          <w:b w:val="1"/>
          <w:i w:val="1"/>
          <w:sz w:val="28"/>
        </w:rPr>
      </w:pPr>
    </w:p>
    <w:p w14:paraId="11000000">
      <w:pPr>
        <w:widowControl w:val="1"/>
        <w:ind/>
        <w:jc w:val="center"/>
        <w:rPr>
          <w:b w:val="1"/>
          <w:i w:val="1"/>
          <w:sz w:val="28"/>
        </w:rPr>
      </w:pPr>
    </w:p>
    <w:p w14:paraId="12000000">
      <w:pPr>
        <w:widowControl w:val="1"/>
        <w:ind/>
        <w:jc w:val="center"/>
        <w:rPr>
          <w:b w:val="1"/>
          <w:i w:val="1"/>
          <w:sz w:val="28"/>
        </w:rPr>
      </w:pPr>
    </w:p>
    <w:tbl>
      <w:tblPr>
        <w:tblStyle w:val="Style_3"/>
        <w:tblW w:type="auto" w:w="0"/>
        <w:tblBorders>
          <w:top w:sz="4" w:val="nil"/>
          <w:left w:sz="4" w:val="nil"/>
          <w:bottom w:sz="4" w:val="nil"/>
          <w:right w:sz="4" w:val="nil"/>
          <w:insideH w:sz="4" w:val="nil"/>
          <w:insideV w:sz="4" w:val="nil"/>
        </w:tblBorders>
        <w:tblLayout w:type="fixed"/>
      </w:tblPr>
      <w:tblGrid>
        <w:gridCol w:w="3546"/>
        <w:gridCol w:w="2904"/>
        <w:gridCol w:w="2904"/>
      </w:tblGrid>
      <w:tr>
        <w:tc>
          <w:tcPr>
            <w:tcW w:type="dxa" w:w="3546"/>
            <w:tcBorders>
              <w:top w:sz="4" w:val="nil"/>
              <w:left w:sz="4" w:val="nil"/>
              <w:bottom w:sz="4" w:val="nil"/>
              <w:right w:sz="4" w:val="nil"/>
            </w:tcBorders>
            <w:tcMar>
              <w:top w:type="dxa" w:w="0"/>
              <w:left w:type="dxa" w:w="108"/>
              <w:bottom w:type="dxa" w:w="0"/>
              <w:right w:type="dxa" w:w="108"/>
            </w:tcMar>
          </w:tcPr>
          <w:p w14:paraId="13000000">
            <w:pPr>
              <w:widowControl w:val="1"/>
              <w:spacing w:line="264" w:lineRule="auto"/>
              <w:ind w:right="57"/>
              <w:jc w:val="both"/>
            </w:pPr>
            <w:r>
              <w:t>Дата начала приема заявок:</w:t>
            </w:r>
          </w:p>
          <w:p w14:paraId="14000000">
            <w:pPr>
              <w:widowControl w:val="1"/>
              <w:spacing w:line="264" w:lineRule="auto"/>
              <w:ind w:right="57"/>
              <w:jc w:val="both"/>
            </w:pPr>
            <w:r>
              <w:t xml:space="preserve"> </w:t>
            </w:r>
          </w:p>
        </w:tc>
        <w:tc>
          <w:tcPr>
            <w:tcW w:type="dxa" w:w="2904"/>
            <w:tcBorders>
              <w:top w:sz="4" w:val="nil"/>
              <w:left w:sz="4" w:val="nil"/>
              <w:bottom w:sz="4" w:val="nil"/>
              <w:right w:sz="4" w:val="nil"/>
            </w:tcBorders>
            <w:tcMar>
              <w:top w:type="dxa" w:w="0"/>
              <w:left w:type="dxa" w:w="108"/>
              <w:bottom w:type="dxa" w:w="0"/>
              <w:right w:type="dxa" w:w="108"/>
            </w:tcMar>
          </w:tcPr>
          <w:p w14:paraId="15000000">
            <w:pPr>
              <w:widowControl w:val="1"/>
              <w:spacing w:line="264" w:lineRule="auto"/>
              <w:ind w:right="57"/>
              <w:jc w:val="both"/>
            </w:pPr>
            <w:r>
              <w:t>06 августа 2026 г.</w:t>
            </w:r>
          </w:p>
        </w:tc>
        <w:tc>
          <w:tcPr>
            <w:tcW w:type="dxa" w:w="2904"/>
            <w:tcBorders>
              <w:top w:sz="4" w:val="nil"/>
              <w:left w:sz="4" w:val="nil"/>
              <w:bottom w:sz="4" w:val="nil"/>
              <w:right w:sz="4" w:val="nil"/>
            </w:tcBorders>
            <w:tcMar>
              <w:top w:type="dxa" w:w="0"/>
              <w:left w:type="dxa" w:w="108"/>
              <w:bottom w:type="dxa" w:w="0"/>
              <w:right w:type="dxa" w:w="108"/>
            </w:tcMar>
          </w:tcPr>
          <w:p w14:paraId="16000000">
            <w:pPr>
              <w:widowControl w:val="1"/>
              <w:spacing w:line="264" w:lineRule="auto"/>
              <w:ind w:right="57"/>
              <w:jc w:val="both"/>
            </w:pPr>
          </w:p>
        </w:tc>
      </w:tr>
      <w:tr>
        <w:tc>
          <w:tcPr>
            <w:tcW w:type="dxa" w:w="3546"/>
            <w:tcBorders>
              <w:top w:sz="4" w:val="nil"/>
              <w:left w:sz="4" w:val="nil"/>
              <w:bottom w:sz="4" w:val="nil"/>
              <w:right w:sz="4" w:val="nil"/>
            </w:tcBorders>
            <w:tcMar>
              <w:top w:type="dxa" w:w="0"/>
              <w:left w:type="dxa" w:w="108"/>
              <w:bottom w:type="dxa" w:w="0"/>
              <w:right w:type="dxa" w:w="108"/>
            </w:tcMar>
          </w:tcPr>
          <w:p w14:paraId="17000000">
            <w:pPr>
              <w:widowControl w:val="1"/>
              <w:spacing w:line="264" w:lineRule="auto"/>
              <w:ind w:right="57"/>
              <w:jc w:val="both"/>
            </w:pPr>
            <w:r>
              <w:t xml:space="preserve">Дата окончания приема заявок: </w:t>
            </w:r>
          </w:p>
          <w:p w14:paraId="18000000">
            <w:pPr>
              <w:widowControl w:val="1"/>
              <w:spacing w:line="264" w:lineRule="auto"/>
              <w:ind w:right="57"/>
              <w:jc w:val="both"/>
            </w:pPr>
          </w:p>
        </w:tc>
        <w:tc>
          <w:tcPr>
            <w:tcW w:type="dxa" w:w="2904"/>
            <w:tcBorders>
              <w:top w:sz="4" w:val="nil"/>
              <w:left w:sz="4" w:val="nil"/>
              <w:bottom w:sz="4" w:val="nil"/>
              <w:right w:sz="4" w:val="nil"/>
            </w:tcBorders>
            <w:tcMar>
              <w:top w:type="dxa" w:w="0"/>
              <w:left w:type="dxa" w:w="108"/>
              <w:bottom w:type="dxa" w:w="0"/>
              <w:right w:type="dxa" w:w="108"/>
            </w:tcMar>
          </w:tcPr>
          <w:p w14:paraId="19000000">
            <w:pPr>
              <w:widowControl w:val="1"/>
              <w:spacing w:line="264" w:lineRule="auto"/>
              <w:ind w:right="57"/>
              <w:jc w:val="both"/>
            </w:pPr>
            <w:r>
              <w:t>02 сентября 2026 г.</w:t>
            </w:r>
          </w:p>
        </w:tc>
        <w:tc>
          <w:tcPr>
            <w:tcW w:type="dxa" w:w="2904"/>
            <w:tcBorders>
              <w:top w:sz="4" w:val="nil"/>
              <w:left w:sz="4" w:val="nil"/>
              <w:bottom w:sz="4" w:val="nil"/>
              <w:right w:sz="4" w:val="nil"/>
            </w:tcBorders>
            <w:tcMar>
              <w:top w:type="dxa" w:w="0"/>
              <w:left w:type="dxa" w:w="108"/>
              <w:bottom w:type="dxa" w:w="0"/>
              <w:right w:type="dxa" w:w="108"/>
            </w:tcMar>
          </w:tcPr>
          <w:p w14:paraId="1A000000">
            <w:pPr>
              <w:widowControl w:val="1"/>
              <w:spacing w:line="264" w:lineRule="auto"/>
              <w:ind w:right="57"/>
              <w:jc w:val="both"/>
            </w:pPr>
          </w:p>
        </w:tc>
      </w:tr>
      <w:tr>
        <w:tc>
          <w:tcPr>
            <w:tcW w:type="dxa" w:w="3546"/>
            <w:tcBorders>
              <w:top w:sz="4" w:val="nil"/>
              <w:left w:sz="4" w:val="nil"/>
              <w:bottom w:sz="4" w:val="nil"/>
              <w:right w:sz="4" w:val="nil"/>
            </w:tcBorders>
            <w:tcMar>
              <w:top w:type="dxa" w:w="0"/>
              <w:left w:type="dxa" w:w="108"/>
              <w:bottom w:type="dxa" w:w="0"/>
              <w:right w:type="dxa" w:w="108"/>
            </w:tcMar>
          </w:tcPr>
          <w:p w14:paraId="1B000000">
            <w:pPr>
              <w:widowControl w:val="1"/>
              <w:spacing w:line="264" w:lineRule="auto"/>
              <w:ind w:right="57"/>
              <w:jc w:val="both"/>
            </w:pPr>
            <w:r>
              <w:t>Дата определения участников:</w:t>
            </w:r>
          </w:p>
          <w:p w14:paraId="1C000000">
            <w:pPr>
              <w:widowControl w:val="1"/>
              <w:spacing w:line="264" w:lineRule="auto"/>
              <w:ind w:right="57"/>
              <w:jc w:val="both"/>
            </w:pPr>
          </w:p>
        </w:tc>
        <w:tc>
          <w:tcPr>
            <w:tcW w:type="dxa" w:w="2904"/>
            <w:tcBorders>
              <w:top w:sz="4" w:val="nil"/>
              <w:left w:sz="4" w:val="nil"/>
              <w:bottom w:sz="4" w:val="nil"/>
              <w:right w:sz="4" w:val="nil"/>
            </w:tcBorders>
            <w:tcMar>
              <w:top w:type="dxa" w:w="0"/>
              <w:left w:type="dxa" w:w="108"/>
              <w:bottom w:type="dxa" w:w="0"/>
              <w:right w:type="dxa" w:w="108"/>
            </w:tcMar>
          </w:tcPr>
          <w:p w14:paraId="1D000000">
            <w:pPr>
              <w:widowControl w:val="1"/>
              <w:spacing w:line="264" w:lineRule="auto"/>
              <w:ind w:right="57"/>
              <w:jc w:val="both"/>
            </w:pPr>
            <w:r>
              <w:t>04 сентября 2026 г.</w:t>
            </w:r>
          </w:p>
        </w:tc>
        <w:tc>
          <w:tcPr>
            <w:tcW w:type="dxa" w:w="2904"/>
            <w:tcBorders>
              <w:top w:sz="4" w:val="nil"/>
              <w:left w:sz="4" w:val="nil"/>
              <w:bottom w:sz="4" w:val="nil"/>
              <w:right w:sz="4" w:val="nil"/>
            </w:tcBorders>
            <w:tcMar>
              <w:top w:type="dxa" w:w="0"/>
              <w:left w:type="dxa" w:w="108"/>
              <w:bottom w:type="dxa" w:w="0"/>
              <w:right w:type="dxa" w:w="108"/>
            </w:tcMar>
          </w:tcPr>
          <w:p w14:paraId="1E000000">
            <w:pPr>
              <w:widowControl w:val="1"/>
              <w:spacing w:line="264" w:lineRule="auto"/>
              <w:ind w:right="57"/>
              <w:jc w:val="both"/>
            </w:pPr>
          </w:p>
        </w:tc>
      </w:tr>
      <w:tr>
        <w:tc>
          <w:tcPr>
            <w:tcW w:type="dxa" w:w="3546"/>
            <w:tcBorders>
              <w:top w:sz="4" w:val="nil"/>
              <w:left w:sz="4" w:val="nil"/>
              <w:bottom w:sz="4" w:val="nil"/>
              <w:right w:sz="4" w:val="nil"/>
            </w:tcBorders>
            <w:tcMar>
              <w:top w:type="dxa" w:w="0"/>
              <w:left w:type="dxa" w:w="108"/>
              <w:bottom w:type="dxa" w:w="0"/>
              <w:right w:type="dxa" w:w="108"/>
            </w:tcMar>
          </w:tcPr>
          <w:p w14:paraId="1F000000">
            <w:pPr>
              <w:widowControl w:val="1"/>
              <w:spacing w:line="264" w:lineRule="auto"/>
              <w:ind w:right="57"/>
              <w:jc w:val="both"/>
            </w:pPr>
            <w:r>
              <w:t>Дата продажи:</w:t>
            </w:r>
          </w:p>
          <w:p w14:paraId="20000000">
            <w:pPr>
              <w:widowControl w:val="1"/>
              <w:spacing w:line="264" w:lineRule="auto"/>
              <w:ind w:right="57"/>
              <w:jc w:val="both"/>
            </w:pPr>
          </w:p>
        </w:tc>
        <w:tc>
          <w:tcPr>
            <w:tcW w:type="dxa" w:w="2904"/>
            <w:tcBorders>
              <w:top w:sz="4" w:val="nil"/>
              <w:left w:sz="4" w:val="nil"/>
              <w:bottom w:sz="4" w:val="nil"/>
              <w:right w:sz="4" w:val="nil"/>
            </w:tcBorders>
            <w:tcMar>
              <w:top w:type="dxa" w:w="0"/>
              <w:left w:type="dxa" w:w="108"/>
              <w:bottom w:type="dxa" w:w="0"/>
              <w:right w:type="dxa" w:w="108"/>
            </w:tcMar>
          </w:tcPr>
          <w:p w14:paraId="21000000">
            <w:pPr>
              <w:widowControl w:val="1"/>
              <w:spacing w:line="264" w:lineRule="auto"/>
              <w:ind w:right="57"/>
              <w:jc w:val="both"/>
            </w:pPr>
            <w:r>
              <w:t>08 сентября 2026 г.</w:t>
            </w:r>
          </w:p>
        </w:tc>
        <w:tc>
          <w:tcPr>
            <w:tcW w:type="dxa" w:w="2904"/>
            <w:tcBorders>
              <w:top w:sz="4" w:val="nil"/>
              <w:left w:sz="4" w:val="nil"/>
              <w:bottom w:sz="4" w:val="nil"/>
              <w:right w:sz="4" w:val="nil"/>
            </w:tcBorders>
            <w:tcMar>
              <w:top w:type="dxa" w:w="0"/>
              <w:left w:type="dxa" w:w="108"/>
              <w:bottom w:type="dxa" w:w="0"/>
              <w:right w:type="dxa" w:w="108"/>
            </w:tcMar>
          </w:tcPr>
          <w:p w14:paraId="22000000">
            <w:pPr>
              <w:widowControl w:val="1"/>
              <w:spacing w:line="264" w:lineRule="auto"/>
              <w:ind w:right="57"/>
              <w:jc w:val="both"/>
            </w:pPr>
          </w:p>
        </w:tc>
      </w:tr>
      <w:tr>
        <w:tc>
          <w:tcPr>
            <w:tcW w:type="dxa" w:w="3546"/>
            <w:tcBorders>
              <w:top w:sz="4" w:val="nil"/>
              <w:left w:sz="4" w:val="nil"/>
              <w:bottom w:sz="4" w:val="nil"/>
              <w:right w:sz="4" w:val="nil"/>
            </w:tcBorders>
          </w:tcPr>
          <w:p w14:paraId="23000000">
            <w:pPr>
              <w:widowControl w:val="1"/>
              <w:spacing w:line="264" w:lineRule="auto"/>
              <w:ind w:right="57"/>
              <w:jc w:val="both"/>
            </w:pPr>
          </w:p>
        </w:tc>
        <w:tc>
          <w:tcPr>
            <w:tcW w:type="dxa" w:w="2904"/>
            <w:tcBorders>
              <w:top w:sz="4" w:val="nil"/>
              <w:left w:sz="4" w:val="nil"/>
              <w:bottom w:sz="4" w:val="nil"/>
              <w:right w:sz="4" w:val="nil"/>
            </w:tcBorders>
          </w:tcPr>
          <w:p w14:paraId="24000000">
            <w:pPr>
              <w:widowControl w:val="1"/>
              <w:spacing w:line="264" w:lineRule="auto"/>
              <w:ind w:right="57"/>
              <w:jc w:val="both"/>
            </w:pPr>
          </w:p>
        </w:tc>
        <w:tc>
          <w:tcPr>
            <w:tcW w:type="dxa" w:w="2904"/>
            <w:tcBorders>
              <w:top w:sz="4" w:val="nil"/>
              <w:left w:sz="4" w:val="nil"/>
              <w:bottom w:sz="4" w:val="nil"/>
              <w:right w:sz="4" w:val="nil"/>
            </w:tcBorders>
          </w:tcPr>
          <w:p w14:paraId="25000000">
            <w:pPr>
              <w:widowControl w:val="1"/>
              <w:spacing w:line="264" w:lineRule="auto"/>
              <w:ind w:right="57"/>
              <w:jc w:val="both"/>
            </w:pPr>
          </w:p>
        </w:tc>
      </w:tr>
    </w:tbl>
    <w:p w14:paraId="26000000">
      <w:pPr>
        <w:pStyle w:val="Style_4"/>
        <w:widowControl w:val="1"/>
        <w:spacing w:line="264" w:lineRule="auto"/>
        <w:ind w:firstLine="720" w:right="57"/>
        <w:rPr>
          <w:sz w:val="28"/>
        </w:rPr>
      </w:pPr>
    </w:p>
    <w:p w14:paraId="27000000">
      <w:pPr>
        <w:rPr>
          <w:b w:val="1"/>
          <w:sz w:val="28"/>
        </w:rPr>
      </w:pPr>
      <w:r>
        <w:rPr>
          <w:sz w:val="28"/>
        </w:rPr>
        <w:br w:type="page"/>
      </w:r>
      <w:r>
        <w:rPr>
          <w:b w:val="1"/>
          <w:sz w:val="28"/>
        </w:rPr>
        <w:t>СОДЕРЖАНИЕ</w:t>
      </w:r>
    </w:p>
    <w:p w14:paraId="28000000">
      <w:r>
        <w:t xml:space="preserve">1. Основные понятия </w:t>
      </w:r>
    </w:p>
    <w:p w14:paraId="29000000">
      <w:r>
        <w:t xml:space="preserve">2. Правовое регулирование </w:t>
      </w:r>
    </w:p>
    <w:p w14:paraId="2A000000">
      <w:r>
        <w:t xml:space="preserve">3. Сведения об аукционе </w:t>
      </w:r>
    </w:p>
    <w:p w14:paraId="2B000000">
      <w:r>
        <w:t xml:space="preserve">4. Место, сроки подачи (приема) заявок, определения участников и подведения итогов аукциона </w:t>
      </w:r>
    </w:p>
    <w:p w14:paraId="2C000000">
      <w:r>
        <w:t xml:space="preserve">5. Сроки и порядок регистрации на электронной площадке </w:t>
      </w:r>
    </w:p>
    <w:p w14:paraId="2D000000">
      <w:r>
        <w:t xml:space="preserve">6. Порядок подачи (приема) и отзыва заявок </w:t>
      </w:r>
    </w:p>
    <w:p w14:paraId="2E000000">
      <w:r>
        <w:t xml:space="preserve">7. Перечень документов, представляемых участниками торгов и требования к их оформлению </w:t>
      </w:r>
    </w:p>
    <w:p w14:paraId="2F000000">
      <w:r>
        <w:t xml:space="preserve">8. Ограничения участия в аукционе отдельных категорий физических и юридических лиц </w:t>
      </w:r>
    </w:p>
    <w:p w14:paraId="30000000">
      <w:r>
        <w:t xml:space="preserve">9. Порядок внесения задатка и его возврата </w:t>
      </w:r>
    </w:p>
    <w:p w14:paraId="31000000">
      <w:r>
        <w:t>10. Порядок ознакомления со сведениями об Имуществе, выставляемом на аукционе</w:t>
      </w:r>
    </w:p>
    <w:p w14:paraId="32000000">
      <w:r>
        <w:t>11. Порядок определения участников аукциона</w:t>
      </w:r>
    </w:p>
    <w:p w14:paraId="33000000">
      <w:r>
        <w:t xml:space="preserve">12. Порядок проведения аукциона и определения победителя </w:t>
      </w:r>
    </w:p>
    <w:p w14:paraId="34000000">
      <w:r>
        <w:t xml:space="preserve">13. Срок заключения договора купли-продажи недвижимого имущества </w:t>
      </w:r>
    </w:p>
    <w:p w14:paraId="35000000">
      <w:r>
        <w:t>14. Переход права собственности на федеральное имущество</w:t>
      </w:r>
    </w:p>
    <w:p w14:paraId="36000000">
      <w:r>
        <w:t>15. Заключительные положения</w:t>
      </w:r>
    </w:p>
    <w:p w14:paraId="37000000">
      <w:r>
        <w:t xml:space="preserve">Приложение 1 (заявка, опись) </w:t>
      </w:r>
      <w:r>
        <w:br/>
      </w:r>
      <w:r>
        <w:t xml:space="preserve">Приложение 2 (проект договора купли-продажи) </w:t>
      </w:r>
    </w:p>
    <w:p w14:paraId="38000000"/>
    <w:p w14:paraId="39000000">
      <w:pPr>
        <w:pStyle w:val="Style_4"/>
        <w:widowControl w:val="1"/>
        <w:spacing w:line="264" w:lineRule="auto"/>
        <w:ind w:firstLine="720" w:right="57"/>
        <w:rPr>
          <w:sz w:val="28"/>
        </w:rPr>
      </w:pPr>
    </w:p>
    <w:p w14:paraId="3A000000">
      <w:pPr>
        <w:pStyle w:val="Style_4"/>
        <w:widowControl w:val="1"/>
        <w:spacing w:line="264" w:lineRule="auto"/>
        <w:ind w:right="57"/>
        <w:jc w:val="center"/>
        <w:rPr>
          <w:b w:val="1"/>
        </w:rPr>
      </w:pPr>
      <w:r>
        <w:rPr>
          <w:sz w:val="28"/>
        </w:rPr>
        <w:br w:type="page"/>
      </w:r>
      <w:r>
        <w:rPr>
          <w:sz w:val="28"/>
        </w:rPr>
        <w:t>1.</w:t>
      </w:r>
      <w:r>
        <w:rPr>
          <w:b w:val="1"/>
        </w:rPr>
        <w:t>Основные понятия</w:t>
      </w:r>
    </w:p>
    <w:p w14:paraId="3B000000">
      <w:pPr>
        <w:pStyle w:val="Style_4"/>
        <w:widowControl w:val="1"/>
        <w:spacing w:line="264" w:lineRule="auto"/>
        <w:ind w:right="57"/>
        <w:jc w:val="center"/>
        <w:rPr>
          <w:b w:val="1"/>
        </w:rPr>
      </w:pPr>
    </w:p>
    <w:p w14:paraId="3C000000">
      <w:pPr>
        <w:pStyle w:val="Style_4"/>
        <w:widowControl w:val="1"/>
        <w:ind w:firstLine="709"/>
      </w:pPr>
      <w:r>
        <w:rPr>
          <w:b w:val="1"/>
        </w:rPr>
        <w:t>Имущество (лоты) аукциона (объекты)</w:t>
      </w:r>
      <w:r>
        <w:t xml:space="preserve"> – имущество, находящееся в собственности Российской Федерации, права на которое передается по договору купли-продажи (далее – имущество).</w:t>
      </w:r>
    </w:p>
    <w:p w14:paraId="3D000000">
      <w:pPr>
        <w:pStyle w:val="Style_4"/>
        <w:widowControl w:val="1"/>
        <w:ind w:firstLine="709"/>
      </w:pPr>
      <w:r>
        <w:rPr>
          <w:b w:val="1"/>
        </w:rPr>
        <w:t xml:space="preserve">Лот </w:t>
      </w:r>
      <w:r>
        <w:t>– имущество, являющееся предметом торгов, реализуемое в ходе проведения одной процедуры продажи (электронного аукциона).</w:t>
      </w:r>
    </w:p>
    <w:p w14:paraId="3E000000">
      <w:pPr>
        <w:pStyle w:val="Style_4"/>
        <w:widowControl w:val="1"/>
        <w:ind w:firstLine="709"/>
      </w:pPr>
      <w:r>
        <w:rPr>
          <w:b w:val="1"/>
        </w:rPr>
        <w:t>Предмет аукциона</w:t>
      </w:r>
      <w:r>
        <w:t xml:space="preserve"> – продажа Имущества (лота) аукциона.</w:t>
      </w:r>
    </w:p>
    <w:p w14:paraId="3F000000">
      <w:pPr>
        <w:pStyle w:val="Style_4"/>
        <w:widowControl w:val="1"/>
        <w:ind w:firstLine="709"/>
      </w:pPr>
      <w:r>
        <w:rPr>
          <w:b w:val="1"/>
        </w:rPr>
        <w:t>Цена предмета аукциона</w:t>
      </w:r>
      <w:r>
        <w:t xml:space="preserve"> – цена продажи Имущества (лота) аукциона.</w:t>
      </w:r>
    </w:p>
    <w:p w14:paraId="40000000">
      <w:pPr>
        <w:pStyle w:val="Style_4"/>
        <w:widowControl w:val="1"/>
        <w:ind w:firstLine="709"/>
      </w:pPr>
      <w:r>
        <w:rPr>
          <w:b w:val="1"/>
        </w:rPr>
        <w:t>Шаг аукциона</w:t>
      </w:r>
      <w:r>
        <w:t xml:space="preserve"> – величина повышения начальной цены продажи Имущества.</w:t>
      </w:r>
    </w:p>
    <w:p w14:paraId="41000000">
      <w:pPr>
        <w:widowControl w:val="1"/>
        <w:ind w:firstLine="709"/>
        <w:jc w:val="both"/>
      </w:pPr>
      <w:r>
        <w:rPr>
          <w:b w:val="1"/>
        </w:rPr>
        <w:t>Информационное сообщение о проведении аукциона</w:t>
      </w:r>
      <w: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42000000">
      <w:pPr>
        <w:pStyle w:val="Style_4"/>
        <w:widowControl w:val="1"/>
        <w:ind w:firstLine="709"/>
      </w:pPr>
      <w:r>
        <w:rPr>
          <w:b w:val="1"/>
        </w:rPr>
        <w:t>Продавец</w:t>
      </w:r>
      <w:r>
        <w:t xml:space="preserve"> – 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p>
    <w:p w14:paraId="43000000">
      <w:pPr>
        <w:widowControl w:val="1"/>
        <w:ind w:firstLine="709"/>
        <w:jc w:val="both"/>
      </w:pPr>
      <w:r>
        <w:rPr>
          <w:b w:val="1"/>
        </w:rPr>
        <w:t>Организатор (оператор электронной площадки)</w:t>
      </w:r>
      <w: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p>
    <w:p w14:paraId="44000000">
      <w:pPr>
        <w:pStyle w:val="Style_4"/>
        <w:widowControl w:val="1"/>
        <w:ind w:firstLine="709"/>
      </w:pPr>
      <w:r>
        <w:rPr>
          <w:b w:val="1"/>
        </w:rPr>
        <w:t xml:space="preserve">Заявка </w:t>
      </w:r>
      <w:r>
        <w:t xml:space="preserve">– комплект документов, представленный претендентом в срок и по форме, который установлен в Информационном сообщении. </w:t>
      </w:r>
    </w:p>
    <w:p w14:paraId="45000000">
      <w:pPr>
        <w:pStyle w:val="Style_4"/>
        <w:widowControl w:val="1"/>
        <w:ind w:firstLine="709"/>
      </w:pPr>
      <w:r>
        <w:rPr>
          <w:b w:val="1"/>
        </w:rPr>
        <w:t>Аукционная комиссия</w:t>
      </w:r>
      <w:r>
        <w:t xml:space="preserve"> – комиссия по проведению аукциона, формируемая Уполномоченным органом.</w:t>
      </w:r>
    </w:p>
    <w:p w14:paraId="46000000">
      <w:pPr>
        <w:pStyle w:val="Style_5"/>
        <w:widowControl w:val="1"/>
        <w:ind w:firstLine="709"/>
        <w:jc w:val="both"/>
      </w:pPr>
      <w:r>
        <w:rPr>
          <w:b w:val="1"/>
        </w:rPr>
        <w:t xml:space="preserve">Претендент </w:t>
      </w:r>
      <w:r>
        <w:t>– юридическое лицо, физическое лицо или физическое лицо в качестве индивидуального предпринимателя, прошедший процедуру регистрации в соответствии с Регламентом ЭТП, подавший в установленном порядке заявку и документы для участия в продаже, намеревающейся принять участие в аукционе.</w:t>
      </w:r>
    </w:p>
    <w:p w14:paraId="47000000">
      <w:pPr>
        <w:pStyle w:val="Style_5"/>
        <w:widowControl w:val="1"/>
        <w:ind w:firstLine="709"/>
        <w:jc w:val="both"/>
      </w:pPr>
      <w:r>
        <w:rPr>
          <w:b w:val="1"/>
        </w:rPr>
        <w:t xml:space="preserve">Участник </w:t>
      </w:r>
      <w:r>
        <w:t>– юридическое лицо, физическое лицо или физическое лицо в качестве индивидуального предпринимателя, предоставившее Оператору электронной площадки заявку на участие в продаже государственного имущества и допущенное в установленном порядке Продавцом для участия в продаже.</w:t>
      </w:r>
    </w:p>
    <w:p w14:paraId="48000000">
      <w:pPr>
        <w:pStyle w:val="Style_5"/>
        <w:widowControl w:val="1"/>
        <w:ind w:firstLine="709"/>
        <w:jc w:val="both"/>
      </w:pPr>
      <w:r>
        <w:rPr>
          <w:b w:val="1"/>
        </w:rPr>
        <w:t>Победитель</w:t>
      </w:r>
      <w:r>
        <w:t xml:space="preserve"> – участник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9000000">
      <w:pPr>
        <w:pStyle w:val="Style_4"/>
        <w:widowControl w:val="1"/>
        <w:ind w:firstLine="709"/>
      </w:pPr>
      <w:r>
        <w:rPr>
          <w:b w:val="1"/>
        </w:rPr>
        <w:t>Открытая часть электронной площадки</w:t>
      </w:r>
      <w:r>
        <w:t xml:space="preserve"> – раздел электронной площадки, находящийся в открытом доступе, не требующий регистрации на электронной площадке для работы в нём.</w:t>
      </w:r>
    </w:p>
    <w:p w14:paraId="4A000000">
      <w:pPr>
        <w:pStyle w:val="Style_4"/>
        <w:widowControl w:val="1"/>
        <w:ind w:firstLine="709"/>
      </w:pPr>
      <w:r>
        <w:rPr>
          <w:b w:val="1"/>
        </w:rPr>
        <w:t>Закрытая часть электронной площадки</w:t>
      </w:r>
      <w: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B000000">
      <w:pPr>
        <w:pStyle w:val="Style_4"/>
        <w:widowControl w:val="1"/>
        <w:ind w:firstLine="709"/>
      </w:pPr>
      <w:r>
        <w:rPr>
          <w:b w:val="1"/>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C000000">
      <w:pPr>
        <w:pStyle w:val="Style_4"/>
        <w:widowControl w:val="1"/>
        <w:ind w:firstLine="709"/>
      </w:pPr>
      <w:r>
        <w:rPr>
          <w:b w:val="1"/>
        </w:rPr>
        <w:t>Электронный документ</w:t>
      </w:r>
      <w: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D000000">
      <w:pPr>
        <w:pStyle w:val="Style_4"/>
        <w:widowControl w:val="1"/>
        <w:ind w:firstLine="709"/>
      </w:pPr>
      <w:r>
        <w:rPr>
          <w:b w:val="1"/>
        </w:rPr>
        <w:t>Электронный образ документа</w:t>
      </w:r>
      <w: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E000000">
      <w:pPr>
        <w:pStyle w:val="Style_4"/>
        <w:widowControl w:val="1"/>
        <w:ind w:firstLine="709"/>
      </w:pPr>
      <w:r>
        <w:rPr>
          <w:b w:val="1"/>
        </w:rPr>
        <w:t>Электронное сообщение (электронное уведомление)</w:t>
      </w:r>
      <w:r>
        <w:t xml:space="preserve"> – информация, направляемая пользователями электронной площадки друг другу в процессе работы на электронной площадке.</w:t>
      </w:r>
    </w:p>
    <w:p w14:paraId="4F000000">
      <w:pPr>
        <w:pStyle w:val="Style_4"/>
        <w:widowControl w:val="1"/>
        <w:ind w:firstLine="709"/>
      </w:pPr>
      <w:r>
        <w:rPr>
          <w:b w:val="1"/>
        </w:rPr>
        <w:t>Электронный журнал</w:t>
      </w:r>
      <w:r>
        <w:t xml:space="preserve"> – электронный документ,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w:t>
      </w:r>
    </w:p>
    <w:p w14:paraId="50000000">
      <w:pPr>
        <w:pStyle w:val="Style_4"/>
        <w:widowControl w:val="1"/>
        <w:ind w:firstLine="709"/>
      </w:pPr>
      <w:r>
        <w:rPr>
          <w:b w:val="1"/>
        </w:rPr>
        <w:t>«Личный кабинет»</w:t>
      </w:r>
      <w: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51000000">
      <w:pPr>
        <w:widowControl w:val="1"/>
        <w:ind w:firstLine="709"/>
        <w:jc w:val="both"/>
      </w:pPr>
      <w:r>
        <w:rPr>
          <w:b w:val="1"/>
        </w:rPr>
        <w:t>Официальные сайты по продаже имущества</w:t>
      </w:r>
      <w:r>
        <w:t xml:space="preserve"> - официальный сайт Российской Федерации для размещения информации о проведении торгов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t xml:space="preserve">, официальный сайт Росимущества в сети «Интернет» </w:t>
      </w:r>
      <w:r>
        <w:rPr>
          <w:sz w:val="26"/>
        </w:rPr>
        <w:t xml:space="preserve"> </w:t>
      </w:r>
      <w:r>
        <w:rPr>
          <w:rStyle w:val="Style_6_ch"/>
          <w:sz w:val="26"/>
        </w:rPr>
        <w:fldChar w:fldCharType="begin"/>
      </w:r>
      <w:r>
        <w:rPr>
          <w:rStyle w:val="Style_6_ch"/>
          <w:sz w:val="26"/>
        </w:rPr>
        <w:instrText>HYPERLINK "https://rosim.gov.ru/"</w:instrText>
      </w:r>
      <w:r>
        <w:rPr>
          <w:rStyle w:val="Style_6_ch"/>
          <w:sz w:val="26"/>
        </w:rPr>
        <w:fldChar w:fldCharType="separate"/>
      </w:r>
      <w:r>
        <w:rPr>
          <w:rStyle w:val="Style_6_ch"/>
          <w:sz w:val="26"/>
        </w:rPr>
        <w:t>https://rosim.gov.ru/</w:t>
      </w:r>
      <w:r>
        <w:rPr>
          <w:rStyle w:val="Style_6_ch"/>
          <w:sz w:val="26"/>
        </w:rPr>
        <w:fldChar w:fldCharType="end"/>
      </w:r>
      <w:r>
        <w:t>, сайт Организатора в сети «Интернет» (электронной площадки), официальный сайт Продавца в сети «Интернет».</w:t>
      </w:r>
    </w:p>
    <w:p w14:paraId="52000000">
      <w:pPr>
        <w:pStyle w:val="Style_4"/>
        <w:widowControl w:val="1"/>
        <w:ind w:firstLine="709"/>
      </w:pPr>
    </w:p>
    <w:p w14:paraId="53000000">
      <w:pPr>
        <w:pStyle w:val="Style_4"/>
        <w:widowControl w:val="1"/>
        <w:spacing w:line="264" w:lineRule="auto"/>
        <w:ind w:firstLine="720" w:right="57"/>
        <w:jc w:val="center"/>
        <w:rPr>
          <w:b w:val="1"/>
        </w:rPr>
      </w:pPr>
    </w:p>
    <w:p w14:paraId="54000000">
      <w:pPr>
        <w:pStyle w:val="Style_4"/>
        <w:widowControl w:val="1"/>
        <w:spacing w:line="264" w:lineRule="auto"/>
        <w:ind w:firstLine="720" w:right="57"/>
        <w:jc w:val="center"/>
        <w:rPr>
          <w:b w:val="1"/>
        </w:rPr>
      </w:pPr>
      <w:r>
        <w:rPr>
          <w:b w:val="1"/>
        </w:rPr>
        <w:t>2. Правовое регулирование</w:t>
      </w:r>
    </w:p>
    <w:p w14:paraId="55000000">
      <w:pPr>
        <w:pStyle w:val="Style_4"/>
        <w:widowControl w:val="1"/>
        <w:spacing w:line="264" w:lineRule="auto"/>
        <w:ind w:firstLine="720" w:right="57"/>
        <w:jc w:val="center"/>
        <w:rPr>
          <w:b w:val="1"/>
        </w:rPr>
      </w:pPr>
    </w:p>
    <w:p w14:paraId="56000000">
      <w:pPr>
        <w:widowControl w:val="1"/>
        <w:ind w:firstLine="709" w:right="57"/>
        <w:jc w:val="both"/>
      </w:pPr>
      <w:r>
        <w:t>Аукцион проводится в соответствии с:</w:t>
      </w:r>
    </w:p>
    <w:p w14:paraId="57000000">
      <w:pPr>
        <w:widowControl w:val="1"/>
        <w:ind w:firstLine="709" w:right="57"/>
        <w:jc w:val="both"/>
      </w:pPr>
      <w:r>
        <w:t>- Гражданским кодексом Российской Федерации;</w:t>
      </w:r>
    </w:p>
    <w:p w14:paraId="58000000">
      <w:pPr>
        <w:widowControl w:val="1"/>
        <w:ind w:firstLine="709" w:right="57"/>
        <w:jc w:val="both"/>
      </w:pPr>
      <w:r>
        <w:t>- Федеральным законом от 21 декабря 2001 г. № 178-ФЗ «О приватизации государственного и муниципального имущества»;</w:t>
      </w:r>
    </w:p>
    <w:p w14:paraId="59000000">
      <w:pPr>
        <w:widowControl w:val="1"/>
        <w:ind w:firstLine="709" w:right="57"/>
        <w:jc w:val="both"/>
      </w:pPr>
      <w:r>
        <w:t xml:space="preserve">- постановлением Правительства Российской Федерации от 27 августа 2012 г. </w:t>
      </w:r>
      <w:r>
        <w:br/>
      </w:r>
      <w:r>
        <w:t>№ 860 «Об организации и проведении продажи государственного или муниципального имущества в электронной форме»;</w:t>
      </w:r>
    </w:p>
    <w:p w14:paraId="5A000000">
      <w:pPr>
        <w:widowControl w:val="1"/>
        <w:ind w:firstLine="709" w:right="57"/>
        <w:jc w:val="both"/>
        <w:rPr>
          <w:highlight w:val="red"/>
        </w:rPr>
      </w:pPr>
      <w:r>
        <w:t xml:space="preserve">– распоряжением Росимущества от </w:t>
      </w:r>
      <w:r>
        <w:t>05.06.2026 № 1399-р «О внесении изменений в приложение к распоряжению Росимущества от 02.09.2025 № 1767-р «Об утверждении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p>
    <w:p w14:paraId="5B000000">
      <w:pPr>
        <w:widowControl w:val="1"/>
        <w:ind w:firstLine="709" w:right="57"/>
        <w:jc w:val="both"/>
      </w:pPr>
      <w:r>
        <w:t>- приказом Росимущества от 14.12.2023  № 255  «Об утверждении Регламента по осуществлению мероприятий по приватизации (продаже) федерального имущества с использованием сервиса «Приватизация» и признании приказа Росимущества  от  24 марта 2020 г. № 75 утратившим силу»;</w:t>
      </w:r>
    </w:p>
    <w:p w14:paraId="5C000000">
      <w:pPr>
        <w:widowControl w:val="1"/>
        <w:ind w:firstLine="709" w:right="57"/>
        <w:jc w:val="both"/>
      </w:pPr>
      <w:r>
        <w:t xml:space="preserve">- распоряжением МТУ Росимущества в Алтайском крае и Республике Алтай об </w:t>
      </w:r>
      <w:r>
        <w:t>условиях приватизации;</w:t>
      </w:r>
    </w:p>
    <w:p w14:paraId="5D000000">
      <w:pPr>
        <w:widowControl w:val="1"/>
        <w:ind w:firstLine="709" w:right="57"/>
        <w:jc w:val="both"/>
      </w:pPr>
      <w:r>
        <w:t>- иными нормативными правовыми актами Российской Федерации.</w:t>
      </w:r>
    </w:p>
    <w:p w14:paraId="5E000000">
      <w:pPr>
        <w:widowControl w:val="1"/>
        <w:ind w:firstLine="709" w:right="57"/>
        <w:jc w:val="both"/>
      </w:pPr>
    </w:p>
    <w:p w14:paraId="5F000000">
      <w:pPr>
        <w:widowControl w:val="1"/>
        <w:spacing w:line="264" w:lineRule="auto"/>
        <w:ind/>
        <w:jc w:val="center"/>
        <w:rPr>
          <w:b w:val="1"/>
        </w:rPr>
      </w:pPr>
      <w:r>
        <w:rPr>
          <w:b w:val="1"/>
        </w:rPr>
        <w:t>3. Сведения об аукционе</w:t>
      </w:r>
    </w:p>
    <w:p w14:paraId="60000000">
      <w:pPr>
        <w:widowControl w:val="1"/>
        <w:spacing w:line="264" w:lineRule="auto"/>
        <w:ind/>
        <w:jc w:val="center"/>
        <w:rPr>
          <w:b w:val="1"/>
        </w:rPr>
      </w:pPr>
    </w:p>
    <w:p w14:paraId="61000000">
      <w:pPr>
        <w:pStyle w:val="Style_4"/>
        <w:widowControl w:val="1"/>
        <w:tabs>
          <w:tab w:leader="none" w:pos="0" w:val="left"/>
        </w:tabs>
        <w:ind w:firstLine="709"/>
      </w:pPr>
      <w:r>
        <w:rPr>
          <w:b w:val="1"/>
        </w:rPr>
        <w:t>3.1.</w:t>
      </w:r>
      <w:r>
        <w:t xml:space="preserve"> </w:t>
      </w:r>
      <w:r>
        <w:rPr>
          <w:b w:val="1"/>
        </w:rPr>
        <w:t xml:space="preserve">Основание проведения торгов – </w:t>
      </w:r>
      <w:r>
        <w:t>распоряжение Межрегионального территориального управления Федерального агентства по управлению государственным имуществом в Алтайском крае и Республике Алтай от  04</w:t>
      </w:r>
      <w:r>
        <w:t xml:space="preserve"> августа 2026 №</w:t>
      </w:r>
      <w:r>
        <w:rPr/>
        <w:t xml:space="preserve"> </w:t>
      </w:r>
      <w:r>
        <w:rPr/>
        <w:t>433 «</w:t>
      </w:r>
      <w:r>
        <w:rPr>
          <w:rFonts w:ascii="Times New Roman" w:hAnsi="Times New Roman"/>
          <w:b w:val="0"/>
          <w:sz w:val="24"/>
        </w:rPr>
        <w:t xml:space="preserve">Об условиях приватизации федерального имущества: </w:t>
      </w:r>
      <w:r>
        <w:rPr>
          <w:rFonts w:ascii="Times New Roman" w:hAnsi="Times New Roman"/>
          <w:b w:val="0"/>
          <w:sz w:val="24"/>
        </w:rPr>
        <w:t xml:space="preserve">земельного участка площадью </w:t>
      </w:r>
      <w:r>
        <w:rPr>
          <w:rFonts w:ascii="Times New Roman" w:hAnsi="Times New Roman"/>
          <w:b w:val="0"/>
          <w:sz w:val="24"/>
        </w:rPr>
        <w:t>6781</w:t>
      </w:r>
      <w:r>
        <w:rPr>
          <w:rFonts w:ascii="Times New Roman" w:hAnsi="Times New Roman"/>
          <w:b w:val="0"/>
          <w:sz w:val="24"/>
        </w:rPr>
        <w:t xml:space="preserve"> </w:t>
      </w:r>
      <w:r>
        <w:rPr>
          <w:rFonts w:ascii="Times New Roman" w:hAnsi="Times New Roman"/>
          <w:b w:val="0"/>
          <w:sz w:val="24"/>
        </w:rPr>
        <w:t xml:space="preserve">кв. м с кадастровым номером </w:t>
      </w:r>
      <w:r>
        <w:rPr>
          <w:rFonts w:ascii="Times New Roman" w:hAnsi="Times New Roman"/>
          <w:b w:val="0"/>
          <w:sz w:val="24"/>
        </w:rPr>
        <w:t>22:15:050501:3935</w:t>
      </w:r>
      <w:r>
        <w:rPr>
          <w:rFonts w:ascii="Times New Roman" w:hAnsi="Times New Roman"/>
          <w:b w:val="0"/>
          <w:sz w:val="24"/>
        </w:rPr>
        <w:t xml:space="preserve">, РНФИ </w:t>
      </w:r>
      <w:r>
        <w:rPr>
          <w:rFonts w:ascii="Times New Roman" w:hAnsi="Times New Roman"/>
          <w:b w:val="0"/>
          <w:sz w:val="24"/>
        </w:rPr>
        <w:t>П11220172858</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район Зональный, с. Зональное, ул. Ленина, 41</w:t>
      </w:r>
      <w:r>
        <w:rPr>
          <w:rFonts w:ascii="Times New Roman" w:hAnsi="Times New Roman"/>
          <w:b w:val="0"/>
          <w:sz w:val="24"/>
        </w:rPr>
        <w:t xml:space="preserve"> </w:t>
      </w:r>
      <w:r>
        <w:rPr>
          <w:rFonts w:ascii="Times New Roman" w:hAnsi="Times New Roman"/>
          <w:b w:val="0"/>
          <w:sz w:val="24"/>
        </w:rPr>
        <w:t>с расположенным на нем о</w:t>
      </w:r>
      <w:r>
        <w:rPr>
          <w:rFonts w:ascii="Times New Roman" w:hAnsi="Times New Roman"/>
          <w:b w:val="0"/>
          <w:sz w:val="24"/>
        </w:rPr>
        <w:t>бъектом недвижимого имущества - Лабораторией</w:t>
      </w:r>
      <w:r>
        <w:rPr>
          <w:rFonts w:ascii="Times New Roman" w:hAnsi="Times New Roman"/>
          <w:b w:val="0"/>
          <w:sz w:val="24"/>
        </w:rPr>
        <w:t xml:space="preserve"> </w:t>
      </w:r>
      <w:r>
        <w:rPr>
          <w:rFonts w:ascii="Times New Roman" w:hAnsi="Times New Roman"/>
          <w:b w:val="0"/>
          <w:sz w:val="24"/>
        </w:rPr>
        <w:t xml:space="preserve">площадью </w:t>
      </w:r>
      <w:r>
        <w:rPr>
          <w:rFonts w:ascii="Times New Roman" w:hAnsi="Times New Roman"/>
          <w:b w:val="0"/>
          <w:sz w:val="24"/>
        </w:rPr>
        <w:t>3214.1</w:t>
      </w:r>
      <w:r>
        <w:rPr>
          <w:rFonts w:ascii="Times New Roman" w:hAnsi="Times New Roman"/>
          <w:b w:val="0"/>
          <w:sz w:val="24"/>
        </w:rPr>
        <w:t xml:space="preserve"> </w:t>
      </w:r>
      <w:r>
        <w:rPr>
          <w:rFonts w:ascii="Times New Roman" w:hAnsi="Times New Roman"/>
          <w:b w:val="0"/>
          <w:sz w:val="24"/>
        </w:rPr>
        <w:t xml:space="preserve">кв. м с кадастровым номером </w:t>
      </w:r>
      <w:r>
        <w:rPr>
          <w:rFonts w:ascii="Times New Roman" w:hAnsi="Times New Roman"/>
          <w:b w:val="0"/>
          <w:sz w:val="24"/>
        </w:rPr>
        <w:t>22:15:050501:3426</w:t>
      </w:r>
      <w:r>
        <w:rPr>
          <w:rFonts w:ascii="Times New Roman" w:hAnsi="Times New Roman"/>
          <w:b w:val="0"/>
          <w:sz w:val="24"/>
        </w:rPr>
        <w:t xml:space="preserve">, РНФИ </w:t>
      </w:r>
      <w:r>
        <w:rPr>
          <w:rFonts w:ascii="Times New Roman" w:hAnsi="Times New Roman"/>
          <w:b w:val="0"/>
          <w:sz w:val="24"/>
        </w:rPr>
        <w:t>П12220011248»</w:t>
      </w:r>
      <w:r>
        <w:rPr>
          <w:b w:val="0"/>
          <w:sz w:val="24"/>
        </w:rPr>
        <w:t>.</w:t>
      </w:r>
    </w:p>
    <w:p w14:paraId="62000000">
      <w:pPr>
        <w:pStyle w:val="Style_4"/>
        <w:widowControl w:val="1"/>
        <w:tabs>
          <w:tab w:leader="none" w:pos="0" w:val="left"/>
        </w:tabs>
        <w:ind w:firstLine="709"/>
        <w:rPr>
          <w:sz w:val="28"/>
        </w:rPr>
      </w:pPr>
      <w:r>
        <w:rPr>
          <w:b w:val="1"/>
        </w:rPr>
        <w:t>3.2. Собственник выставляемого на торги имущества -</w:t>
      </w:r>
      <w:r>
        <w:t xml:space="preserve"> Российская Федерация.</w:t>
      </w:r>
    </w:p>
    <w:p w14:paraId="63000000">
      <w:pPr>
        <w:widowControl w:val="1"/>
        <w:tabs>
          <w:tab w:leader="none" w:pos="0" w:val="left"/>
        </w:tabs>
        <w:ind w:firstLine="709"/>
        <w:jc w:val="both"/>
        <w:rPr>
          <w:b w:val="1"/>
        </w:rPr>
      </w:pPr>
      <w:r>
        <w:rPr>
          <w:b w:val="1"/>
        </w:rPr>
        <w:t>3.3. Организатор (оператор электронной площадки) торгов:</w:t>
      </w:r>
    </w:p>
    <w:p w14:paraId="64000000">
      <w:pPr>
        <w:widowControl w:val="1"/>
        <w:ind w:firstLine="709"/>
        <w:jc w:val="both"/>
      </w:pPr>
      <w:r>
        <w:t>Наименование – акционерное общество "Сбербанк - Автоматизированная система торгов" (АО «Сбербанк – АСТ»).</w:t>
      </w:r>
    </w:p>
    <w:p w14:paraId="65000000">
      <w:pPr>
        <w:widowControl w:val="1"/>
        <w:ind w:firstLine="709"/>
        <w:jc w:val="both"/>
      </w:pPr>
      <w:r>
        <w:t>Адрес – 127055, г. Москва, ул. Новослободская, д. 24, стр. 2 (юридический адрес); 119180, г. Москва, Большая Якиманка, 23 (фактический адрес).</w:t>
      </w:r>
    </w:p>
    <w:p w14:paraId="66000000">
      <w:pPr>
        <w:widowControl w:val="1"/>
        <w:ind w:firstLine="709"/>
        <w:jc w:val="both"/>
      </w:pPr>
      <w:r>
        <w:t xml:space="preserve">Сайт - https://www.sberbank-ast.ru/. </w:t>
      </w:r>
    </w:p>
    <w:p w14:paraId="67000000">
      <w:pPr>
        <w:widowControl w:val="1"/>
        <w:ind w:firstLine="709"/>
        <w:jc w:val="both"/>
        <w:rPr>
          <w:b w:val="1"/>
        </w:rPr>
      </w:pPr>
      <w:r>
        <w:rPr>
          <w:b w:val="1"/>
        </w:rPr>
        <w:t>3.4. Продавец:</w:t>
      </w:r>
    </w:p>
    <w:p w14:paraId="68000000">
      <w:pPr>
        <w:pStyle w:val="Style_7"/>
        <w:widowControl w:val="1"/>
        <w:tabs>
          <w:tab w:leader="none" w:pos="0" w:val="left"/>
          <w:tab w:leader="none" w:pos="284" w:val="clear"/>
        </w:tabs>
        <w:ind w:firstLine="709" w:left="0"/>
        <w:rPr>
          <w:spacing w:val="-6"/>
        </w:rPr>
      </w:pPr>
      <w:r>
        <w:rPr>
          <w:b w:val="1"/>
          <w:spacing w:val="-6"/>
        </w:rPr>
        <w:t>Наименование</w:t>
      </w:r>
      <w:r>
        <w:rPr>
          <w:spacing w:val="-6"/>
        </w:rPr>
        <w:t xml:space="preserve"> - 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14:paraId="69000000">
      <w:pPr>
        <w:pStyle w:val="Style_7"/>
        <w:widowControl w:val="1"/>
        <w:tabs>
          <w:tab w:leader="none" w:pos="0" w:val="left"/>
          <w:tab w:leader="none" w:pos="284" w:val="clear"/>
        </w:tabs>
        <w:ind w:firstLine="709" w:left="0"/>
      </w:pPr>
      <w:r>
        <w:t>Адрес – г. Барнаул, ул. Молодежная, д. 3.</w:t>
      </w:r>
    </w:p>
    <w:p w14:paraId="6A000000">
      <w:pPr>
        <w:pStyle w:val="Style_7"/>
        <w:widowControl w:val="1"/>
        <w:tabs>
          <w:tab w:leader="none" w:pos="0" w:val="left"/>
          <w:tab w:leader="none" w:pos="284" w:val="clear"/>
        </w:tabs>
        <w:ind w:firstLine="709" w:left="0"/>
      </w:pPr>
      <w:r>
        <w:t xml:space="preserve">Сайт – </w:t>
      </w:r>
      <w:r>
        <w:rPr>
          <w:rStyle w:val="Style_6_ch"/>
        </w:rPr>
        <w:fldChar w:fldCharType="begin"/>
      </w:r>
      <w:r>
        <w:rPr>
          <w:rStyle w:val="Style_6_ch"/>
        </w:rPr>
        <w:instrText>HYPERLINK "https://tu22.rosim.gov.ru/"</w:instrText>
      </w:r>
      <w:r>
        <w:rPr>
          <w:rStyle w:val="Style_6_ch"/>
        </w:rPr>
        <w:fldChar w:fldCharType="separate"/>
      </w:r>
      <w:r>
        <w:rPr>
          <w:rStyle w:val="Style_6_ch"/>
        </w:rPr>
        <w:t>https://tu22.rosim.gov.ru/</w:t>
      </w:r>
      <w:r>
        <w:rPr>
          <w:rStyle w:val="Style_6_ch"/>
        </w:rPr>
        <w:fldChar w:fldCharType="end"/>
      </w:r>
      <w:r>
        <w:t>.</w:t>
      </w:r>
    </w:p>
    <w:p w14:paraId="6B000000">
      <w:pPr>
        <w:pStyle w:val="Style_7"/>
        <w:widowControl w:val="1"/>
        <w:tabs>
          <w:tab w:leader="none" w:pos="0" w:val="left"/>
          <w:tab w:leader="none" w:pos="284" w:val="clear"/>
        </w:tabs>
        <w:ind w:firstLine="709" w:left="0"/>
      </w:pPr>
      <w:r>
        <w:t xml:space="preserve">Телефон – 8(3852)22-38-42 доб. 4408, 4409. </w:t>
      </w:r>
    </w:p>
    <w:p w14:paraId="6C000000">
      <w:pPr>
        <w:pStyle w:val="Style_7"/>
        <w:widowControl w:val="1"/>
        <w:tabs>
          <w:tab w:leader="none" w:pos="0" w:val="left"/>
          <w:tab w:leader="none" w:pos="284" w:val="clear"/>
        </w:tabs>
        <w:ind w:firstLine="709" w:left="0"/>
      </w:pPr>
      <w:r>
        <w:rPr>
          <w:b w:val="1"/>
        </w:rPr>
        <w:t>3.5. Форма аукциона (способ приватизации) –</w:t>
      </w:r>
      <w:r>
        <w:t xml:space="preserve"> аукцион в электронной форме открытый по составу участников и по форме подачи предложений о цене имущества.</w:t>
      </w:r>
    </w:p>
    <w:p w14:paraId="6D000000">
      <w:pPr>
        <w:pStyle w:val="Style_7"/>
        <w:widowControl w:val="1"/>
        <w:tabs>
          <w:tab w:leader="none" w:pos="0" w:val="left"/>
          <w:tab w:leader="none" w:pos="284" w:val="clear"/>
        </w:tabs>
        <w:ind w:firstLine="709" w:left="0"/>
        <w:rPr>
          <w:b w:val="1"/>
        </w:rPr>
      </w:pPr>
    </w:p>
    <w:p w14:paraId="6E000000">
      <w:pPr>
        <w:pStyle w:val="Style_7"/>
        <w:widowControl w:val="1"/>
        <w:tabs>
          <w:tab w:leader="none" w:pos="0" w:val="left"/>
          <w:tab w:leader="none" w:pos="284" w:val="clear"/>
        </w:tabs>
        <w:ind w:firstLine="709" w:left="0"/>
      </w:pPr>
      <w:r>
        <w:rPr>
          <w:b w:val="1"/>
        </w:rPr>
        <w:t xml:space="preserve">3.6. Сведения об Имуществе (лотах), выставляемом на аукционе в электронной </w:t>
      </w:r>
      <w:r>
        <w:rPr>
          <w:b w:val="1"/>
        </w:rPr>
        <w:t>форме:</w:t>
      </w:r>
      <w:r>
        <w:rPr>
          <w:b w:val="1"/>
        </w:rPr>
        <w:t xml:space="preserve"> </w:t>
      </w:r>
      <w:r>
        <w:t xml:space="preserve">земельный </w:t>
      </w:r>
      <w:r>
        <w:t xml:space="preserve">участок </w:t>
      </w:r>
      <w:r>
        <w:rPr>
          <w:rFonts w:ascii="Times New Roman" w:hAnsi="Times New Roman"/>
          <w:b w:val="0"/>
          <w:sz w:val="24"/>
        </w:rPr>
        <w:t xml:space="preserve">площадью </w:t>
      </w:r>
      <w:r>
        <w:rPr>
          <w:rFonts w:ascii="Times New Roman" w:hAnsi="Times New Roman"/>
          <w:b w:val="0"/>
          <w:sz w:val="24"/>
        </w:rPr>
        <w:t>6781</w:t>
      </w:r>
      <w:r>
        <w:rPr>
          <w:rFonts w:ascii="Times New Roman" w:hAnsi="Times New Roman"/>
          <w:b w:val="0"/>
          <w:sz w:val="24"/>
        </w:rPr>
        <w:t xml:space="preserve"> </w:t>
      </w:r>
      <w:r>
        <w:rPr>
          <w:rFonts w:ascii="Times New Roman" w:hAnsi="Times New Roman"/>
          <w:b w:val="0"/>
          <w:sz w:val="24"/>
        </w:rPr>
        <w:t xml:space="preserve">кв. м с кадастровым номером </w:t>
      </w:r>
      <w:r>
        <w:rPr>
          <w:rFonts w:ascii="Times New Roman" w:hAnsi="Times New Roman"/>
          <w:b w:val="0"/>
          <w:sz w:val="24"/>
        </w:rPr>
        <w:t>22:15:050501:3935</w:t>
      </w:r>
      <w:r>
        <w:rPr>
          <w:rFonts w:ascii="Times New Roman" w:hAnsi="Times New Roman"/>
          <w:b w:val="0"/>
          <w:sz w:val="24"/>
        </w:rPr>
        <w:t xml:space="preserve">, РНФИ </w:t>
      </w:r>
      <w:r>
        <w:rPr>
          <w:rFonts w:ascii="Times New Roman" w:hAnsi="Times New Roman"/>
          <w:b w:val="0"/>
          <w:sz w:val="24"/>
        </w:rPr>
        <w:t>П11220172858</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район Зональный, с. Зональное, ул. Ленина, 41</w:t>
      </w:r>
      <w:r>
        <w:rPr>
          <w:rFonts w:ascii="Times New Roman" w:hAnsi="Times New Roman"/>
          <w:b w:val="0"/>
          <w:sz w:val="24"/>
        </w:rPr>
        <w:t xml:space="preserve"> </w:t>
      </w:r>
      <w:r>
        <w:rPr>
          <w:rFonts w:ascii="Times New Roman" w:hAnsi="Times New Roman"/>
          <w:b w:val="0"/>
          <w:sz w:val="24"/>
        </w:rPr>
        <w:t>с расположенным на нем о</w:t>
      </w:r>
      <w:r>
        <w:rPr>
          <w:rFonts w:ascii="Times New Roman" w:hAnsi="Times New Roman"/>
          <w:b w:val="0"/>
          <w:sz w:val="24"/>
        </w:rPr>
        <w:t>бъектом недвижимого имущества - Лабораторией</w:t>
      </w:r>
      <w:r>
        <w:rPr>
          <w:rFonts w:ascii="Times New Roman" w:hAnsi="Times New Roman"/>
          <w:b w:val="0"/>
          <w:sz w:val="24"/>
        </w:rPr>
        <w:t xml:space="preserve"> </w:t>
      </w:r>
      <w:r>
        <w:rPr>
          <w:rFonts w:ascii="Times New Roman" w:hAnsi="Times New Roman"/>
          <w:b w:val="0"/>
          <w:sz w:val="24"/>
        </w:rPr>
        <w:t xml:space="preserve">площадью </w:t>
      </w:r>
      <w:r>
        <w:rPr>
          <w:rFonts w:ascii="Times New Roman" w:hAnsi="Times New Roman"/>
          <w:b w:val="0"/>
          <w:sz w:val="24"/>
        </w:rPr>
        <w:t>3214.1</w:t>
      </w:r>
      <w:r>
        <w:rPr>
          <w:rFonts w:ascii="Times New Roman" w:hAnsi="Times New Roman"/>
          <w:b w:val="0"/>
          <w:sz w:val="24"/>
        </w:rPr>
        <w:t xml:space="preserve"> </w:t>
      </w:r>
      <w:r>
        <w:rPr>
          <w:rFonts w:ascii="Times New Roman" w:hAnsi="Times New Roman"/>
          <w:b w:val="0"/>
          <w:sz w:val="24"/>
        </w:rPr>
        <w:t xml:space="preserve">кв. м с кадастровым номером </w:t>
      </w:r>
      <w:r>
        <w:rPr>
          <w:rFonts w:ascii="Times New Roman" w:hAnsi="Times New Roman"/>
          <w:b w:val="0"/>
          <w:sz w:val="24"/>
        </w:rPr>
        <w:t>22:15:050501:3426</w:t>
      </w:r>
      <w:r>
        <w:rPr>
          <w:rFonts w:ascii="Times New Roman" w:hAnsi="Times New Roman"/>
          <w:b w:val="0"/>
          <w:sz w:val="24"/>
        </w:rPr>
        <w:t xml:space="preserve">, РНФИ </w:t>
      </w:r>
      <w:r>
        <w:rPr>
          <w:rFonts w:ascii="Times New Roman" w:hAnsi="Times New Roman"/>
          <w:b w:val="0"/>
          <w:sz w:val="24"/>
        </w:rPr>
        <w:t>П12220011248</w:t>
      </w:r>
      <w:r>
        <w:t>.</w:t>
      </w:r>
    </w:p>
    <w:p w14:paraId="6F000000">
      <w:pPr>
        <w:widowControl w:val="1"/>
        <w:ind w:firstLine="709"/>
        <w:contextualSpacing w:val="1"/>
        <w:jc w:val="both"/>
        <w:rPr>
          <w:b w:val="1"/>
        </w:rPr>
      </w:pPr>
    </w:p>
    <w:p w14:paraId="70000000">
      <w:pPr>
        <w:widowControl w:val="1"/>
        <w:tabs>
          <w:tab w:leader="none" w:pos="2520" w:val="left"/>
        </w:tabs>
        <w:ind/>
        <w:jc w:val="center"/>
        <w:rPr>
          <w:b w:val="1"/>
        </w:rPr>
      </w:pPr>
      <w:r>
        <w:rPr>
          <w:b w:val="1"/>
        </w:rPr>
        <w:t>Характеристика земельного участка:</w:t>
      </w:r>
    </w:p>
    <w:p w14:paraId="71000000">
      <w:pPr>
        <w:widowControl w:val="1"/>
        <w:tabs>
          <w:tab w:leader="none" w:pos="2520" w:val="left"/>
        </w:tabs>
        <w:ind/>
        <w:jc w:val="center"/>
        <w:rPr>
          <w:b w:val="1"/>
        </w:rPr>
      </w:pPr>
    </w:p>
    <w:tbl>
      <w:tblPr>
        <w:tblStyle w:val="Style_8"/>
        <w:tblW w:type="auto" w:w="0"/>
        <w:tblLayout w:type="fixed"/>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Pr>
          <w:p w14:paraId="72000000">
            <w:r>
              <w:t>Наименование:</w:t>
            </w:r>
          </w:p>
        </w:tc>
        <w:tc>
          <w:tcPr>
            <w:tcW w:type="dxa" w:w="6345"/>
            <w:tcBorders>
              <w:top w:color="000000" w:sz="4" w:val="single"/>
              <w:left w:color="000000" w:sz="4" w:val="single"/>
              <w:bottom w:color="000000" w:sz="4" w:val="single"/>
              <w:right w:color="000000" w:sz="4" w:val="single"/>
            </w:tcBorders>
          </w:tcPr>
          <w:p w14:paraId="73000000">
            <w:pPr>
              <w:widowControl w:val="1"/>
              <w:tabs>
                <w:tab w:leader="none" w:pos="2520" w:val="left"/>
              </w:tabs>
              <w:ind/>
              <w:jc w:val="both"/>
            </w:pPr>
            <w:r>
              <w:t xml:space="preserve">Земельный участок </w:t>
            </w:r>
          </w:p>
        </w:tc>
      </w:tr>
      <w:tr>
        <w:trPr>
          <w:trHeight w:hRule="atLeast" w:val="44"/>
        </w:trPr>
        <w:tc>
          <w:tcPr>
            <w:tcW w:type="dxa" w:w="2992"/>
            <w:tcBorders>
              <w:top w:color="000000" w:sz="4" w:val="single"/>
              <w:left w:color="000000" w:sz="4" w:val="single"/>
              <w:bottom w:color="000000" w:sz="4" w:val="single"/>
              <w:right w:color="000000" w:sz="4" w:val="single"/>
            </w:tcBorders>
          </w:tcPr>
          <w:p w14:paraId="74000000">
            <w:r>
              <w:t>Номер РФИ:</w:t>
            </w:r>
          </w:p>
        </w:tc>
        <w:tc>
          <w:tcPr>
            <w:tcW w:type="dxa" w:w="6345"/>
            <w:tcBorders>
              <w:top w:color="000000" w:sz="4" w:val="single"/>
              <w:left w:color="000000" w:sz="4" w:val="single"/>
              <w:bottom w:color="000000" w:sz="4" w:val="single"/>
              <w:right w:color="000000" w:sz="4" w:val="single"/>
            </w:tcBorders>
          </w:tcPr>
          <w:p w14:paraId="75000000">
            <w:r>
              <w:rPr>
                <w:rFonts w:ascii="Times New Roman" w:hAnsi="Times New Roman"/>
                <w:b w:val="0"/>
                <w:sz w:val="24"/>
              </w:rPr>
              <w:t>П11220172858</w:t>
            </w:r>
          </w:p>
        </w:tc>
      </w:tr>
      <w:tr>
        <w:trPr>
          <w:trHeight w:hRule="atLeast" w:val="200"/>
        </w:trPr>
        <w:tc>
          <w:tcPr>
            <w:tcW w:type="dxa" w:w="2992"/>
            <w:tcBorders>
              <w:top w:color="000000" w:sz="4" w:val="single"/>
              <w:left w:color="000000" w:sz="4" w:val="single"/>
              <w:bottom w:color="000000" w:sz="4" w:val="single"/>
              <w:right w:color="000000" w:sz="4" w:val="single"/>
            </w:tcBorders>
          </w:tcPr>
          <w:p w14:paraId="76000000">
            <w:pPr>
              <w:rPr>
                <w:highlight w:val="red"/>
              </w:rPr>
            </w:pPr>
            <w:r>
              <w:t>Кадастровый номер:</w:t>
            </w:r>
          </w:p>
        </w:tc>
        <w:tc>
          <w:tcPr>
            <w:tcW w:type="dxa" w:w="6345"/>
            <w:tcBorders>
              <w:top w:color="000000" w:sz="4" w:val="single"/>
              <w:left w:color="000000" w:sz="4" w:val="single"/>
              <w:bottom w:color="000000" w:sz="4" w:val="single"/>
              <w:right w:color="000000" w:sz="4" w:val="single"/>
            </w:tcBorders>
          </w:tcPr>
          <w:p w14:paraId="77000000">
            <w:r>
              <w:t>22:15:050501:3935</w:t>
            </w:r>
          </w:p>
        </w:tc>
      </w:tr>
      <w:tr>
        <w:trPr>
          <w:trHeight w:hRule="atLeast" w:val="218"/>
        </w:trPr>
        <w:tc>
          <w:tcPr>
            <w:tcW w:type="dxa" w:w="2992"/>
            <w:tcBorders>
              <w:top w:color="000000" w:sz="4" w:val="single"/>
              <w:left w:color="000000" w:sz="4" w:val="single"/>
              <w:bottom w:color="000000" w:sz="4" w:val="single"/>
              <w:right w:color="000000" w:sz="4" w:val="single"/>
            </w:tcBorders>
            <w:vAlign w:val="center"/>
          </w:tcPr>
          <w:p w14:paraId="78000000">
            <w:r>
              <w:t>Общая площадь (кв. м.):</w:t>
            </w:r>
          </w:p>
        </w:tc>
        <w:tc>
          <w:tcPr>
            <w:tcW w:type="dxa" w:w="6345"/>
            <w:tcBorders>
              <w:top w:color="000000" w:sz="4" w:val="single"/>
              <w:left w:color="000000" w:sz="4" w:val="single"/>
              <w:bottom w:color="000000" w:sz="4" w:val="single"/>
              <w:right w:color="000000" w:sz="4" w:val="single"/>
            </w:tcBorders>
            <w:vAlign w:val="center"/>
          </w:tcPr>
          <w:p w14:paraId="79000000">
            <w:r>
              <w:rPr>
                <w:rFonts w:ascii="Times New Roman" w:hAnsi="Times New Roman"/>
                <w:b w:val="0"/>
                <w:sz w:val="24"/>
              </w:rPr>
              <w:t>6781</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A000000">
            <w:pPr>
              <w:rPr>
                <w:highlight w:val="red"/>
              </w:rPr>
            </w:pPr>
            <w:r>
              <w:t>Категория земель:</w:t>
            </w:r>
          </w:p>
        </w:tc>
        <w:tc>
          <w:tcPr>
            <w:tcW w:type="dxa" w:w="6345"/>
            <w:tcBorders>
              <w:top w:color="000000" w:sz="4" w:val="single"/>
              <w:left w:color="000000" w:sz="4" w:val="single"/>
              <w:bottom w:color="000000" w:sz="4" w:val="single"/>
              <w:right w:color="000000" w:sz="4" w:val="single"/>
            </w:tcBorders>
            <w:vAlign w:val="center"/>
          </w:tcPr>
          <w:p w14:paraId="7B000000">
            <w:pPr>
              <w:rPr>
                <w:highlight w:val="red"/>
              </w:rPr>
            </w:pPr>
            <w: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C000000">
            <w:r>
              <w:t>Виды разрешенного использования:</w:t>
            </w:r>
          </w:p>
        </w:tc>
        <w:tc>
          <w:tcPr>
            <w:tcW w:type="dxa" w:w="6345"/>
            <w:tcBorders>
              <w:top w:color="000000" w:sz="4" w:val="single"/>
              <w:left w:color="000000" w:sz="4" w:val="single"/>
              <w:bottom w:color="000000" w:sz="4" w:val="single"/>
              <w:right w:color="000000" w:sz="4" w:val="single"/>
            </w:tcBorders>
            <w:vAlign w:val="center"/>
          </w:tcPr>
          <w:p w14:paraId="7D000000">
            <w:pPr>
              <w:widowControl w:val="1"/>
              <w:spacing w:after="120" w:before="120"/>
              <w:ind w:hanging="120" w:left="120" w:right="120"/>
            </w:pPr>
            <w:r>
              <w:t>Для эксплуатации административного здания и производственной территории</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E000000">
            <w:r>
              <w:t>Адрес:</w:t>
            </w:r>
          </w:p>
        </w:tc>
        <w:tc>
          <w:tcPr>
            <w:tcW w:type="dxa" w:w="6345"/>
            <w:tcBorders>
              <w:top w:color="000000" w:sz="4" w:val="single"/>
              <w:left w:color="000000" w:sz="4" w:val="single"/>
              <w:bottom w:color="000000" w:sz="4" w:val="single"/>
              <w:right w:color="000000" w:sz="4" w:val="single"/>
            </w:tcBorders>
            <w:vAlign w:val="center"/>
          </w:tcPr>
          <w:p w14:paraId="7F000000">
            <w:pPr>
              <w:widowControl w:val="1"/>
              <w:spacing w:after="120" w:before="120"/>
              <w:ind w:right="120"/>
            </w:pPr>
            <w:r>
              <w:t>Алтайский край, район Зональный, с. Зональное, ул. Ленина, 41</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0000000">
            <w:pPr>
              <w:rPr>
                <w:highlight w:val="red"/>
              </w:rPr>
            </w:pPr>
            <w:r>
              <w:t>Право:</w:t>
            </w:r>
          </w:p>
        </w:tc>
        <w:tc>
          <w:tcPr>
            <w:tcW w:type="dxa" w:w="6345"/>
            <w:tcBorders>
              <w:top w:color="000000" w:sz="4" w:val="single"/>
              <w:left w:color="000000" w:sz="4" w:val="single"/>
              <w:bottom w:color="000000" w:sz="4" w:val="single"/>
              <w:right w:color="000000" w:sz="4" w:val="single"/>
            </w:tcBorders>
            <w:vAlign w:val="center"/>
          </w:tcPr>
          <w:p w14:paraId="81000000">
            <w:pPr>
              <w:rPr>
                <w:highlight w:val="red"/>
              </w:rPr>
            </w:pPr>
            <w:r>
              <w:t>Собственность 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2000000">
            <w:r>
              <w:t>Обременения:</w:t>
            </w:r>
          </w:p>
        </w:tc>
        <w:tc>
          <w:tcPr>
            <w:tcW w:type="dxa" w:w="6345"/>
            <w:tcBorders>
              <w:top w:color="000000" w:sz="4" w:val="single"/>
              <w:left w:color="000000" w:sz="4" w:val="single"/>
              <w:bottom w:color="000000" w:sz="4" w:val="single"/>
              <w:right w:color="000000" w:sz="4" w:val="single"/>
            </w:tcBorders>
            <w:vAlign w:val="center"/>
          </w:tcPr>
          <w:p w14:paraId="83000000">
            <w:r>
              <w:t>не зарегистрировано</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4000000">
            <w:r>
              <w:t>Ограничения:</w:t>
            </w:r>
          </w:p>
        </w:tc>
        <w:tc>
          <w:tcPr>
            <w:tcW w:type="dxa" w:w="6345"/>
            <w:tcBorders>
              <w:top w:color="000000" w:sz="4" w:val="single"/>
              <w:left w:color="000000" w:sz="4" w:val="single"/>
              <w:bottom w:color="000000" w:sz="4" w:val="single"/>
              <w:right w:color="000000" w:sz="4" w:val="single"/>
            </w:tcBorders>
            <w:vAlign w:val="center"/>
          </w:tcPr>
          <w:p w14:paraId="85000000">
            <w: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6000000">
            <w:r>
              <w:t>Правоустанавливающие документы:</w:t>
            </w:r>
          </w:p>
        </w:tc>
        <w:tc>
          <w:tcPr>
            <w:tcW w:type="dxa" w:w="6345"/>
            <w:tcBorders>
              <w:top w:color="000000" w:sz="4" w:val="single"/>
              <w:left w:color="000000" w:sz="4" w:val="single"/>
              <w:bottom w:color="000000" w:sz="4" w:val="single"/>
              <w:right w:color="000000" w:sz="4" w:val="single"/>
            </w:tcBorders>
            <w:vAlign w:val="center"/>
          </w:tcPr>
          <w:p w14:paraId="87000000">
            <w:r>
              <w:t>Выписка из ЕГРН от 30</w:t>
            </w:r>
            <w:r>
              <w:t>.0</w:t>
            </w:r>
            <w:r>
              <w:t>7</w:t>
            </w:r>
            <w:r>
              <w:t xml:space="preserve">.2026 № </w:t>
            </w:r>
            <w:r>
              <w:t>КУВИ-001/2026-102768551</w:t>
            </w:r>
          </w:p>
          <w:p w14:paraId="88000000">
            <w:r>
              <w:t>Выписка из РФИ от 30</w:t>
            </w:r>
            <w:r>
              <w:t>.0</w:t>
            </w:r>
            <w:r>
              <w:t>7</w:t>
            </w:r>
            <w:r>
              <w:t xml:space="preserve">.2026 № </w:t>
            </w:r>
            <w:r>
              <w:t>373244/1</w:t>
            </w:r>
          </w:p>
        </w:tc>
      </w:tr>
    </w:tbl>
    <w:p w14:paraId="89000000">
      <w:pPr>
        <w:widowControl w:val="1"/>
        <w:tabs>
          <w:tab w:leader="none" w:pos="2520" w:val="left"/>
        </w:tabs>
        <w:ind/>
        <w:jc w:val="center"/>
        <w:rPr>
          <w:b w:val="1"/>
        </w:rPr>
      </w:pPr>
    </w:p>
    <w:p w14:paraId="8A000000">
      <w:pPr>
        <w:widowControl w:val="1"/>
        <w:tabs>
          <w:tab w:leader="none" w:pos="2520" w:val="left"/>
        </w:tabs>
        <w:ind/>
        <w:jc w:val="center"/>
        <w:rPr>
          <w:b w:val="1"/>
        </w:rPr>
      </w:pPr>
      <w:r>
        <w:rPr>
          <w:b w:val="1"/>
        </w:rPr>
        <w:t xml:space="preserve">Характеристика объекта </w:t>
      </w:r>
      <w:r>
        <w:rPr>
          <w:b w:val="1"/>
        </w:rPr>
        <w:t>недвижимого имущества (Лаборатория)</w:t>
      </w:r>
      <w:r>
        <w:rPr>
          <w:b w:val="1"/>
        </w:rPr>
        <w:t xml:space="preserve">: </w:t>
      </w:r>
    </w:p>
    <w:p w14:paraId="8B000000">
      <w:pPr>
        <w:widowControl w:val="1"/>
        <w:tabs>
          <w:tab w:leader="none" w:pos="2520" w:val="left"/>
        </w:tabs>
        <w:ind/>
        <w:jc w:val="center"/>
        <w:rPr>
          <w:b w:val="1"/>
        </w:rPr>
      </w:pPr>
    </w:p>
    <w:tbl>
      <w:tblPr>
        <w:tblStyle w:val="Style_8"/>
        <w:tblW w:type="auto" w:w="0"/>
        <w:tblLayout w:type="fixed"/>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Pr>
          <w:p w14:paraId="8C000000">
            <w:r>
              <w:t>Наименование:</w:t>
            </w:r>
          </w:p>
        </w:tc>
        <w:tc>
          <w:tcPr>
            <w:tcW w:type="dxa" w:w="6345"/>
            <w:tcBorders>
              <w:top w:color="000000" w:sz="4" w:val="single"/>
              <w:left w:color="000000" w:sz="4" w:val="single"/>
              <w:bottom w:color="000000" w:sz="4" w:val="single"/>
              <w:right w:color="000000" w:sz="4" w:val="single"/>
            </w:tcBorders>
          </w:tcPr>
          <w:p w14:paraId="8D000000">
            <w:pPr>
              <w:rPr>
                <w:b w:val="0"/>
              </w:rPr>
            </w:pPr>
            <w:r>
              <w:rPr>
                <w:b w:val="0"/>
              </w:rPr>
              <w:t>Лаборатория</w:t>
            </w:r>
          </w:p>
        </w:tc>
      </w:tr>
      <w:tr>
        <w:trPr>
          <w:trHeight w:hRule="atLeast" w:val="44"/>
        </w:trPr>
        <w:tc>
          <w:tcPr>
            <w:tcW w:type="dxa" w:w="3009"/>
            <w:tcBorders>
              <w:top w:color="000000" w:sz="4" w:val="single"/>
              <w:left w:color="000000" w:sz="4" w:val="single"/>
              <w:bottom w:color="000000" w:sz="4" w:val="single"/>
              <w:right w:color="000000" w:sz="4" w:val="single"/>
            </w:tcBorders>
          </w:tcPr>
          <w:p w14:paraId="8E000000">
            <w:r>
              <w:t>Номер РФИ:</w:t>
            </w:r>
          </w:p>
        </w:tc>
        <w:tc>
          <w:tcPr>
            <w:tcW w:type="dxa" w:w="6345"/>
            <w:tcBorders>
              <w:top w:color="000000" w:sz="4" w:val="single"/>
              <w:left w:color="000000" w:sz="4" w:val="single"/>
              <w:bottom w:color="000000" w:sz="4" w:val="single"/>
              <w:right w:color="000000" w:sz="4" w:val="single"/>
            </w:tcBorders>
          </w:tcPr>
          <w:p w14:paraId="8F000000">
            <w:r>
              <w:rPr>
                <w:rFonts w:ascii="Times New Roman" w:hAnsi="Times New Roman"/>
                <w:b w:val="0"/>
                <w:sz w:val="24"/>
              </w:rPr>
              <w:t>П12220011248</w:t>
            </w:r>
          </w:p>
        </w:tc>
      </w:tr>
      <w:tr>
        <w:trPr>
          <w:trHeight w:hRule="atLeast" w:val="210"/>
        </w:trPr>
        <w:tc>
          <w:tcPr>
            <w:tcW w:type="dxa" w:w="3009"/>
            <w:tcBorders>
              <w:top w:color="000000" w:sz="4" w:val="single"/>
              <w:left w:color="000000" w:sz="4" w:val="single"/>
              <w:bottom w:color="000000" w:sz="4" w:val="single"/>
              <w:right w:color="000000" w:sz="4" w:val="single"/>
            </w:tcBorders>
          </w:tcPr>
          <w:p w14:paraId="90000000">
            <w:r>
              <w:t>Кадастровый номер:</w:t>
            </w:r>
          </w:p>
        </w:tc>
        <w:tc>
          <w:tcPr>
            <w:tcW w:type="dxa" w:w="6345"/>
            <w:tcBorders>
              <w:top w:color="000000" w:sz="4" w:val="single"/>
              <w:left w:color="000000" w:sz="4" w:val="single"/>
              <w:bottom w:color="000000" w:sz="4" w:val="single"/>
              <w:right w:color="000000" w:sz="4" w:val="single"/>
            </w:tcBorders>
          </w:tcPr>
          <w:p w14:paraId="91000000">
            <w:r>
              <w:rPr>
                <w:rFonts w:ascii="Times New Roman" w:hAnsi="Times New Roman"/>
                <w:b w:val="0"/>
                <w:sz w:val="24"/>
              </w:rPr>
              <w:t>22:15:050501:3426</w:t>
            </w:r>
          </w:p>
        </w:tc>
      </w:tr>
      <w:tr>
        <w:trPr>
          <w:trHeight w:hRule="atLeast" w:val="223"/>
        </w:trPr>
        <w:tc>
          <w:tcPr>
            <w:tcW w:type="dxa" w:w="3009"/>
            <w:tcBorders>
              <w:top w:color="000000" w:sz="4" w:val="single"/>
              <w:left w:color="000000" w:sz="4" w:val="single"/>
              <w:bottom w:color="000000" w:sz="4" w:val="single"/>
              <w:right w:color="000000" w:sz="4" w:val="single"/>
            </w:tcBorders>
            <w:vAlign w:val="center"/>
          </w:tcPr>
          <w:p w14:paraId="92000000">
            <w:r>
              <w:t>Площадь</w:t>
            </w:r>
            <w:r>
              <w:t>=площадь застройки</w:t>
            </w:r>
            <w:r>
              <w:t xml:space="preserve"> (кв. м.):</w:t>
            </w:r>
          </w:p>
        </w:tc>
        <w:tc>
          <w:tcPr>
            <w:tcW w:type="dxa" w:w="6345"/>
            <w:tcBorders>
              <w:top w:color="000000" w:sz="4" w:val="single"/>
              <w:left w:color="000000" w:sz="4" w:val="single"/>
              <w:bottom w:color="000000" w:sz="4" w:val="single"/>
              <w:right w:color="000000" w:sz="4" w:val="single"/>
            </w:tcBorders>
            <w:vAlign w:val="center"/>
          </w:tcPr>
          <w:p w14:paraId="93000000">
            <w:r>
              <w:rPr>
                <w:rFonts w:ascii="Times New Roman" w:hAnsi="Times New Roman"/>
                <w:b w:val="0"/>
                <w:sz w:val="24"/>
              </w:rPr>
              <w:t>3214.1</w:t>
            </w:r>
          </w:p>
        </w:tc>
      </w:tr>
      <w:tr>
        <w:trPr>
          <w:trHeight w:hRule="atLeast" w:val="534"/>
        </w:trPr>
        <w:tc>
          <w:tcPr>
            <w:tcW w:type="dxa" w:w="3009"/>
            <w:tcBorders>
              <w:top w:color="000000" w:sz="4" w:val="single"/>
              <w:left w:color="000000" w:sz="4" w:val="single"/>
              <w:bottom w:color="000000" w:sz="4" w:val="single"/>
              <w:right w:color="000000" w:sz="4" w:val="single"/>
            </w:tcBorders>
            <w:vAlign w:val="center"/>
          </w:tcPr>
          <w:p w14:paraId="94000000">
            <w: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00000">
            <w:r>
              <w:t>Алтайский край, м.о. Зональный район, с. Зональное, ул. Ленина, д. 41</w:t>
            </w:r>
          </w:p>
        </w:tc>
      </w:tr>
      <w:tr>
        <w:trPr>
          <w:trHeight w:hRule="atLeast" w:val="283"/>
        </w:trPr>
        <w:tc>
          <w:tcPr>
            <w:tcW w:type="dxa" w:w="3009"/>
            <w:tcBorders>
              <w:top w:color="000000" w:sz="4" w:val="single"/>
              <w:left w:color="000000" w:sz="4" w:val="single"/>
              <w:bottom w:color="000000" w:sz="4" w:val="single"/>
              <w:right w:color="000000" w:sz="4" w:val="single"/>
            </w:tcBorders>
            <w:vAlign w:val="center"/>
          </w:tcPr>
          <w:p w14:paraId="96000000">
            <w:r>
              <w:t>Право:</w:t>
            </w:r>
          </w:p>
        </w:tc>
        <w:tc>
          <w:tcPr>
            <w:tcW w:type="dxa" w:w="6345"/>
            <w:tcBorders>
              <w:top w:color="000000" w:sz="4" w:val="single"/>
              <w:left w:color="000000" w:sz="4" w:val="single"/>
              <w:bottom w:color="000000" w:sz="4" w:val="single"/>
              <w:right w:color="000000" w:sz="4" w:val="single"/>
            </w:tcBorders>
            <w:vAlign w:val="center"/>
          </w:tcPr>
          <w:p w14:paraId="97000000">
            <w:r>
              <w:t>Собственность 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8000000">
            <w:r>
              <w:t>Обременения:</w:t>
            </w:r>
          </w:p>
        </w:tc>
        <w:tc>
          <w:tcPr>
            <w:tcW w:type="dxa" w:w="6345"/>
            <w:tcBorders>
              <w:top w:color="000000" w:sz="4" w:val="single"/>
              <w:left w:color="000000" w:sz="4" w:val="single"/>
              <w:bottom w:color="000000" w:sz="4" w:val="single"/>
              <w:right w:color="000000" w:sz="4" w:val="single"/>
            </w:tcBorders>
            <w:vAlign w:val="center"/>
          </w:tcPr>
          <w:p w14:paraId="99000000">
            <w: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A000000">
            <w:r>
              <w:t>ОКН:</w:t>
            </w:r>
          </w:p>
        </w:tc>
        <w:tc>
          <w:tcPr>
            <w:tcW w:type="dxa" w:w="6345"/>
            <w:tcBorders>
              <w:top w:color="000000" w:sz="4" w:val="single"/>
              <w:left w:color="000000" w:sz="4" w:val="single"/>
              <w:bottom w:color="000000" w:sz="4" w:val="single"/>
              <w:right w:color="000000" w:sz="4" w:val="single"/>
            </w:tcBorders>
            <w:vAlign w:val="center"/>
          </w:tcPr>
          <w:p w14:paraId="9B000000">
            <w: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C000000">
            <w:r>
              <w:t>МЧС:</w:t>
            </w:r>
          </w:p>
        </w:tc>
        <w:tc>
          <w:tcPr>
            <w:tcW w:type="dxa" w:w="6345"/>
            <w:tcBorders>
              <w:top w:color="000000" w:sz="4" w:val="single"/>
              <w:left w:color="000000" w:sz="4" w:val="single"/>
              <w:bottom w:color="000000" w:sz="4" w:val="single"/>
              <w:right w:color="000000" w:sz="4" w:val="single"/>
            </w:tcBorders>
            <w:vAlign w:val="center"/>
          </w:tcPr>
          <w:p w14:paraId="9D000000">
            <w: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00000">
            <w: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00000">
            <w:r>
              <w:t>Выписка из ЕГРН от 30</w:t>
            </w:r>
            <w:r>
              <w:t>.0</w:t>
            </w:r>
            <w:r>
              <w:t>7</w:t>
            </w:r>
            <w:r>
              <w:t>.</w:t>
            </w:r>
            <w:r>
              <w:t>2026</w:t>
            </w:r>
            <w:r>
              <w:t xml:space="preserve"> № </w:t>
            </w:r>
            <w:r>
              <w:t>КУВИ-001/2026-102768285</w:t>
            </w:r>
          </w:p>
          <w:p w14:paraId="A0000000">
            <w:r>
              <w:t>Выписка из РФИ от 30</w:t>
            </w:r>
            <w:r>
              <w:t>.</w:t>
            </w:r>
            <w:r>
              <w:t>07</w:t>
            </w:r>
            <w:r>
              <w:t xml:space="preserve">.2026 № </w:t>
            </w:r>
            <w:r>
              <w:t>373242/1</w:t>
            </w:r>
          </w:p>
        </w:tc>
      </w:tr>
    </w:tbl>
    <w:p w14:paraId="A1000000">
      <w:pPr>
        <w:widowControl w:val="1"/>
        <w:ind w:firstLine="709"/>
        <w:rPr>
          <w:shd w:fill="FFD821" w:val="clear"/>
        </w:rPr>
      </w:pPr>
    </w:p>
    <w:p w14:paraId="A2000000">
      <w:pPr>
        <w:widowControl w:val="1"/>
        <w:ind w:firstLine="709"/>
        <w:rPr>
          <w:shd w:fill="FFD821" w:val="clear"/>
        </w:rPr>
      </w:pPr>
    </w:p>
    <w:p w14:paraId="A3000000">
      <w:pPr>
        <w:widowControl w:val="1"/>
        <w:ind w:firstLine="709"/>
        <w:jc w:val="both"/>
        <w:rPr>
          <w:sz w:val="24"/>
        </w:rPr>
      </w:pPr>
      <w:r>
        <w:rPr>
          <w:b w:val="1"/>
        </w:rPr>
        <w:t>Начальная цен</w:t>
      </w:r>
      <w:r>
        <w:rPr>
          <w:b w:val="1"/>
          <w:sz w:val="24"/>
        </w:rPr>
        <w:t xml:space="preserve">а - </w:t>
      </w:r>
      <w:r>
        <w:rPr>
          <w:rFonts w:ascii="Times New Roman" w:hAnsi="Times New Roman"/>
          <w:b w:val="0"/>
          <w:sz w:val="24"/>
          <w:u w:val="none"/>
        </w:rPr>
        <w:t>2 168 153,00 (Два миллиона сто шестьдесят восемь тысяч сто пятьдесят три рубля 00 копеек)</w:t>
      </w:r>
      <w:r>
        <w:rPr>
          <w:rFonts w:ascii="Times New Roman" w:hAnsi="Times New Roman"/>
          <w:b w:val="0"/>
          <w:sz w:val="24"/>
          <w:u w:val="none"/>
        </w:rPr>
        <w:t xml:space="preserve"> с</w:t>
      </w:r>
      <w:r>
        <w:rPr>
          <w:rFonts w:ascii="Times New Roman" w:hAnsi="Times New Roman"/>
          <w:b w:val="0"/>
          <w:color w:val="000000"/>
          <w:sz w:val="24"/>
          <w:u w:val="none"/>
        </w:rPr>
        <w:t xml:space="preserve"> </w:t>
      </w:r>
      <w:r>
        <w:rPr>
          <w:rFonts w:ascii="Times New Roman" w:hAnsi="Times New Roman"/>
          <w:b w:val="0"/>
          <w:color w:val="000000"/>
          <w:sz w:val="24"/>
          <w:u w:val="none"/>
        </w:rPr>
        <w:t>НД</w:t>
      </w:r>
      <w:r>
        <w:rPr>
          <w:rFonts w:ascii="Times New Roman" w:hAnsi="Times New Roman"/>
          <w:b w:val="0"/>
          <w:color w:val="000000"/>
          <w:sz w:val="24"/>
          <w:u w:val="none"/>
        </w:rPr>
        <w:t>С</w:t>
      </w:r>
      <w:r>
        <w:rPr>
          <w:sz w:val="24"/>
        </w:rPr>
        <w:t>.</w:t>
      </w:r>
    </w:p>
    <w:p w14:paraId="A4000000">
      <w:pPr>
        <w:widowControl w:val="1"/>
        <w:ind w:firstLine="709"/>
        <w:jc w:val="both"/>
        <w:rPr>
          <w:sz w:val="24"/>
        </w:rPr>
      </w:pPr>
      <w:r>
        <w:rPr>
          <w:b w:val="1"/>
          <w:sz w:val="24"/>
        </w:rPr>
        <w:t>Шаг аукциона (величина повышения цены) –</w:t>
      </w:r>
      <w:r>
        <w:rPr>
          <w:sz w:val="24"/>
        </w:rPr>
        <w:t xml:space="preserve"> </w:t>
      </w:r>
      <w:r>
        <w:rPr>
          <w:rFonts w:ascii="Times New Roman" w:hAnsi="Times New Roman"/>
          <w:sz w:val="24"/>
        </w:rPr>
        <w:t>108 407,65</w:t>
      </w:r>
      <w:r>
        <w:rPr>
          <w:rFonts w:ascii="Times New Roman" w:hAnsi="Times New Roman"/>
          <w:sz w:val="24"/>
        </w:rPr>
        <w:t xml:space="preserve"> (Сто восемь</w:t>
      </w:r>
      <w:r>
        <w:rPr>
          <w:rFonts w:ascii="Times New Roman" w:hAnsi="Times New Roman"/>
          <w:sz w:val="24"/>
        </w:rPr>
        <w:t xml:space="preserve"> тысяч четыреста семь</w:t>
      </w:r>
      <w:r>
        <w:rPr>
          <w:rFonts w:ascii="Times New Roman" w:hAnsi="Times New Roman"/>
          <w:sz w:val="24"/>
        </w:rPr>
        <w:t xml:space="preserve"> р</w:t>
      </w:r>
      <w:r>
        <w:rPr>
          <w:rFonts w:ascii="Times New Roman" w:hAnsi="Times New Roman"/>
          <w:sz w:val="24"/>
        </w:rPr>
        <w:t>ублей</w:t>
      </w:r>
      <w:r>
        <w:rPr>
          <w:rFonts w:ascii="Times New Roman" w:hAnsi="Times New Roman"/>
          <w:sz w:val="24"/>
        </w:rPr>
        <w:t xml:space="preserve"> 65</w:t>
      </w:r>
      <w:r>
        <w:rPr>
          <w:rFonts w:ascii="Times New Roman" w:hAnsi="Times New Roman"/>
          <w:sz w:val="24"/>
        </w:rPr>
        <w:t xml:space="preserve"> копеек)</w:t>
      </w:r>
      <w:r>
        <w:rPr>
          <w:sz w:val="24"/>
        </w:rPr>
        <w:t>.</w:t>
      </w:r>
    </w:p>
    <w:p w14:paraId="A5000000">
      <w:pPr>
        <w:widowControl w:val="1"/>
        <w:ind w:firstLine="709"/>
        <w:jc w:val="both"/>
        <w:rPr>
          <w:sz w:val="24"/>
        </w:rPr>
      </w:pPr>
      <w:r>
        <w:rPr>
          <w:b w:val="1"/>
          <w:sz w:val="24"/>
        </w:rPr>
        <w:t>Размер задатка –</w:t>
      </w:r>
      <w:r>
        <w:rPr>
          <w:sz w:val="24"/>
        </w:rPr>
        <w:t xml:space="preserve"> 2</w:t>
      </w:r>
      <w:r>
        <w:rPr>
          <w:sz w:val="24"/>
        </w:rPr>
        <w:t>16 815,30</w:t>
      </w:r>
      <w:r>
        <w:rPr>
          <w:sz w:val="24"/>
        </w:rPr>
        <w:t xml:space="preserve"> (Двести шестнадцать тысяч восемьсот пятнадцать рублей 30 копеек</w:t>
      </w:r>
      <w:r>
        <w:rPr>
          <w:sz w:val="24"/>
        </w:rPr>
        <w:t>)</w:t>
      </w:r>
      <w:r>
        <w:rPr>
          <w:sz w:val="24"/>
        </w:rPr>
        <w:t xml:space="preserve"> (без учета НДС).</w:t>
      </w:r>
    </w:p>
    <w:p w14:paraId="A6000000">
      <w:pPr>
        <w:widowControl w:val="1"/>
        <w:tabs>
          <w:tab w:leader="none" w:pos="284" w:val="left"/>
        </w:tabs>
        <w:ind w:firstLine="709"/>
        <w:jc w:val="both"/>
      </w:pPr>
      <w:r>
        <w:rPr>
          <w:b w:val="1"/>
          <w:sz w:val="24"/>
        </w:rPr>
        <w:t xml:space="preserve">Срок внесения задатка – </w:t>
      </w:r>
      <w:r>
        <w:rPr>
          <w:sz w:val="24"/>
        </w:rPr>
        <w:t>с 06.0</w:t>
      </w:r>
      <w:r>
        <w:t xml:space="preserve">8.2026 г. по 02.09.2026 г г. на счет, указанный в информационном сообщении. </w:t>
      </w:r>
    </w:p>
    <w:p w14:paraId="A7000000">
      <w:pPr>
        <w:widowControl w:val="1"/>
        <w:ind w:firstLine="709"/>
        <w:jc w:val="both"/>
        <w:rPr>
          <w:b w:val="1"/>
        </w:rPr>
      </w:pPr>
      <w:r>
        <w:rPr>
          <w:b w:val="1"/>
        </w:rPr>
        <w:t>Сведения о предыдущих торгах по продаже имущества, объявленных в течение года, предшествующего его продаже:</w:t>
      </w:r>
    </w:p>
    <w:p w14:paraId="A8000000">
      <w:pPr>
        <w:widowControl w:val="1"/>
        <w:tabs>
          <w:tab w:leader="none" w:pos="284" w:val="left"/>
        </w:tabs>
        <w:ind w:firstLine="709"/>
        <w:jc w:val="both"/>
      </w:pPr>
      <w:r>
        <w:t xml:space="preserve">Межрегиональным территориальным управлением Федерального агентства по управлению государственным имуществом в Алтайском крае и Республике Алтай ранее </w:t>
      </w:r>
      <w:r>
        <w:t xml:space="preserve">не проводились торги по продаже имущества. </w:t>
      </w:r>
    </w:p>
    <w:p w14:paraId="A9000000">
      <w:pPr>
        <w:widowControl w:val="1"/>
        <w:tabs>
          <w:tab w:leader="none" w:pos="284" w:val="left"/>
        </w:tabs>
        <w:ind w:firstLine="709"/>
        <w:jc w:val="both"/>
      </w:pPr>
    </w:p>
    <w:p w14:paraId="AA000000">
      <w:pPr>
        <w:widowControl w:val="1"/>
        <w:ind w:firstLine="709"/>
        <w:jc w:val="both"/>
        <w:rPr>
          <w:b w:val="1"/>
        </w:rPr>
      </w:pPr>
    </w:p>
    <w:p w14:paraId="AB000000">
      <w:pPr>
        <w:widowControl w:val="1"/>
        <w:tabs>
          <w:tab w:leader="none" w:pos="0" w:val="left"/>
        </w:tabs>
        <w:ind w:firstLine="709"/>
        <w:jc w:val="center"/>
        <w:rPr>
          <w:b w:val="1"/>
        </w:rPr>
      </w:pPr>
      <w:r>
        <w:rPr>
          <w:b w:val="1"/>
        </w:rPr>
        <w:t>4. Место, сроки подачи (приема) заявок, определения участников и проведения аукциона</w:t>
      </w:r>
    </w:p>
    <w:p w14:paraId="AC000000">
      <w:pPr>
        <w:widowControl w:val="1"/>
        <w:tabs>
          <w:tab w:leader="none" w:pos="0" w:val="left"/>
        </w:tabs>
        <w:ind w:firstLine="709"/>
        <w:jc w:val="center"/>
        <w:rPr>
          <w:b w:val="1"/>
        </w:rPr>
      </w:pPr>
    </w:p>
    <w:p w14:paraId="AD000000">
      <w:pPr>
        <w:widowControl w:val="1"/>
        <w:ind w:firstLine="709"/>
        <w:jc w:val="both"/>
      </w:pPr>
      <w:r>
        <w:rPr>
          <w:b w:val="1"/>
        </w:rPr>
        <w:t>4.1. Место подачи (приема) Заявок:</w:t>
      </w:r>
      <w:r>
        <w:t xml:space="preserve"> https://www.sberbank-ast.ru/. </w:t>
      </w:r>
    </w:p>
    <w:p w14:paraId="AE000000">
      <w:pPr>
        <w:widowControl w:val="1"/>
        <w:ind w:firstLine="709"/>
        <w:jc w:val="both"/>
      </w:pPr>
      <w:r>
        <w:rPr>
          <w:b w:val="1"/>
        </w:rPr>
        <w:t>4.2. Дата и время начала подачи (приема) Заявок:</w:t>
      </w:r>
      <w:r>
        <w:t xml:space="preserve"> 06 августа 2026 г. в 08:00 по московскому времени. </w:t>
      </w:r>
    </w:p>
    <w:p w14:paraId="AF000000">
      <w:pPr>
        <w:widowControl w:val="1"/>
        <w:tabs>
          <w:tab w:leader="none" w:pos="0" w:val="left"/>
        </w:tabs>
        <w:ind w:firstLine="709"/>
        <w:jc w:val="both"/>
      </w:pPr>
      <w:r>
        <w:t>Подача Заявок осуществляется круглосуточно.</w:t>
      </w:r>
    </w:p>
    <w:p w14:paraId="B0000000">
      <w:pPr>
        <w:widowControl w:val="1"/>
        <w:ind w:firstLine="709"/>
        <w:jc w:val="both"/>
      </w:pPr>
      <w:r>
        <w:rPr>
          <w:b w:val="1"/>
        </w:rPr>
        <w:t xml:space="preserve">4.3. Дата и время окончания подачи (приема) Заявок: </w:t>
      </w:r>
      <w:r>
        <w:t>02 сентября 2026 г. в 16.00 по московскому времени.</w:t>
      </w:r>
    </w:p>
    <w:p w14:paraId="B1000000">
      <w:pPr>
        <w:widowControl w:val="1"/>
        <w:tabs>
          <w:tab w:leader="none" w:pos="6547" w:val="left"/>
        </w:tabs>
        <w:ind w:firstLine="709"/>
        <w:jc w:val="both"/>
      </w:pPr>
      <w:r>
        <w:rPr>
          <w:b w:val="1"/>
        </w:rPr>
        <w:t xml:space="preserve">4.4. Дата определения Участников: </w:t>
      </w:r>
      <w:r>
        <w:rPr>
          <w:b w:val="0"/>
        </w:rPr>
        <w:t>04</w:t>
      </w:r>
      <w:r>
        <w:t xml:space="preserve"> </w:t>
      </w:r>
      <w:r>
        <w:t>сентября</w:t>
      </w:r>
      <w:r>
        <w:t xml:space="preserve"> 2026 г.</w:t>
      </w:r>
    </w:p>
    <w:p w14:paraId="B2000000">
      <w:pPr>
        <w:widowControl w:val="1"/>
        <w:ind w:firstLine="709"/>
        <w:jc w:val="both"/>
      </w:pPr>
      <w:r>
        <w:rPr>
          <w:b w:val="1"/>
        </w:rPr>
        <w:t>4.5. Место, дата, время и срок проведения аукциона:</w:t>
      </w:r>
      <w:r>
        <w:t xml:space="preserve"> </w:t>
      </w:r>
      <w:r>
        <w:rPr>
          <w:rStyle w:val="Style_6_ch"/>
        </w:rPr>
        <w:fldChar w:fldCharType="begin"/>
      </w:r>
      <w:r>
        <w:rPr>
          <w:rStyle w:val="Style_6_ch"/>
        </w:rPr>
        <w:instrText>HYPERLINK "https://www.sberbank-ast.ru/"</w:instrText>
      </w:r>
      <w:r>
        <w:rPr>
          <w:rStyle w:val="Style_6_ch"/>
        </w:rPr>
        <w:fldChar w:fldCharType="separate"/>
      </w:r>
      <w:r>
        <w:rPr>
          <w:rStyle w:val="Style_6_ch"/>
        </w:rPr>
        <w:t>https://www.sberbank-ast.ru/</w:t>
      </w:r>
      <w:r>
        <w:rPr>
          <w:rStyle w:val="Style_6_ch"/>
        </w:rPr>
        <w:fldChar w:fldCharType="end"/>
      </w:r>
      <w:r>
        <w:t xml:space="preserve">. 08 </w:t>
      </w:r>
      <w:r>
        <w:t>сентября</w:t>
      </w:r>
      <w:r>
        <w:t xml:space="preserve"> 2026 г. в 07:00 по московскому времени и до последнего предложения Участников.</w:t>
      </w:r>
    </w:p>
    <w:p w14:paraId="B3000000">
      <w:pPr>
        <w:widowControl w:val="1"/>
        <w:ind w:firstLine="709"/>
        <w:jc w:val="both"/>
      </w:pPr>
    </w:p>
    <w:p w14:paraId="B4000000">
      <w:pPr>
        <w:widowControl w:val="1"/>
        <w:ind w:firstLine="709"/>
        <w:jc w:val="center"/>
      </w:pPr>
      <w:r>
        <w:rPr>
          <w:b w:val="1"/>
        </w:rPr>
        <w:t>5. Срок и порядок регистрации на электронной площадке</w:t>
      </w:r>
    </w:p>
    <w:p w14:paraId="B5000000">
      <w:pPr>
        <w:widowControl w:val="1"/>
        <w:ind w:firstLine="709"/>
        <w:jc w:val="center"/>
      </w:pPr>
    </w:p>
    <w:p w14:paraId="B6000000">
      <w:pPr>
        <w:widowControl w:val="1"/>
        <w:tabs>
          <w:tab w:leader="none" w:pos="284" w:val="left"/>
        </w:tabs>
        <w:ind w:firstLine="709"/>
        <w:jc w:val="both"/>
      </w:pPr>
      <w:r>
        <w:t>5.1. Для обеспечения доступа к участию в электронном аукционе Претендентам необходимо пройти процедуру регистрации в соответствии с 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B7000000">
      <w:pPr>
        <w:widowControl w:val="1"/>
        <w:tabs>
          <w:tab w:leader="none" w:pos="284" w:val="left"/>
        </w:tabs>
        <w:ind w:firstLine="709"/>
        <w:jc w:val="both"/>
      </w:pPr>
      <w: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B8000000">
      <w:pPr>
        <w:widowControl w:val="1"/>
        <w:tabs>
          <w:tab w:leader="none" w:pos="284" w:val="left"/>
        </w:tabs>
        <w:ind w:firstLine="709"/>
        <w:jc w:val="both"/>
      </w:pPr>
      <w:r>
        <w:t>5.3. Регистрация на электронной площадке осуществляется без взимания платы.</w:t>
      </w:r>
    </w:p>
    <w:p w14:paraId="B9000000">
      <w:pPr>
        <w:widowControl w:val="1"/>
        <w:tabs>
          <w:tab w:leader="none" w:pos="284" w:val="left"/>
        </w:tabs>
        <w:ind w:firstLine="709"/>
        <w:jc w:val="both"/>
      </w:pPr>
      <w: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BA000000">
      <w:pPr>
        <w:widowControl w:val="1"/>
        <w:tabs>
          <w:tab w:leader="none" w:pos="284" w:val="left"/>
        </w:tabs>
        <w:ind w:firstLine="709"/>
        <w:jc w:val="both"/>
      </w:pPr>
      <w:r>
        <w:t xml:space="preserve">5.5. Регистрация на электронной площадке проводится в соответствии </w:t>
      </w:r>
      <w:r>
        <w:br/>
      </w:r>
      <w:r>
        <w:t xml:space="preserve">с 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w:t>
      </w:r>
      <w:r>
        <w:br/>
      </w:r>
      <w:r>
        <w:t>«Об организации и проведении продажи государственного имущества в электронной форме».</w:t>
      </w:r>
    </w:p>
    <w:p w14:paraId="BB000000">
      <w:pPr>
        <w:widowControl w:val="1"/>
        <w:tabs>
          <w:tab w:leader="none" w:pos="284" w:val="left"/>
        </w:tabs>
        <w:ind w:firstLine="709"/>
        <w:jc w:val="both"/>
      </w:pPr>
    </w:p>
    <w:p w14:paraId="BC000000">
      <w:pPr>
        <w:widowControl w:val="1"/>
        <w:numPr>
          <w:ilvl w:val="0"/>
          <w:numId w:val="1"/>
        </w:numPr>
        <w:ind w:firstLine="851" w:left="0"/>
        <w:jc w:val="center"/>
        <w:rPr>
          <w:b w:val="1"/>
        </w:rPr>
      </w:pPr>
      <w:r>
        <w:rPr>
          <w:b w:val="1"/>
        </w:rPr>
        <w:t>Порядок подачи (приема) и отзыва заявок</w:t>
      </w:r>
    </w:p>
    <w:p w14:paraId="BD000000">
      <w:pPr>
        <w:widowControl w:val="1"/>
        <w:ind w:firstLine="851"/>
        <w:jc w:val="center"/>
        <w:rPr>
          <w:b w:val="1"/>
        </w:rPr>
      </w:pPr>
    </w:p>
    <w:p w14:paraId="BE000000">
      <w:pPr>
        <w:widowControl w:val="1"/>
        <w:tabs>
          <w:tab w:leader="none" w:pos="284" w:val="left"/>
        </w:tabs>
        <w:ind w:firstLine="709"/>
        <w:jc w:val="both"/>
      </w:pPr>
      <w:r>
        <w:t xml:space="preserve">6.1. Прием заявок и прилагаемых к ним документов начинается с даты и времени, </w:t>
      </w:r>
      <w:r>
        <w:br/>
      </w:r>
      <w:r>
        <w:t>указанные в информационном сообщении о проведении продажи имущества, осуществляется в сроки, установленные в Информационном сообщении.</w:t>
      </w:r>
    </w:p>
    <w:p w14:paraId="BF000000">
      <w:pPr>
        <w:widowControl w:val="1"/>
        <w:tabs>
          <w:tab w:leader="none" w:pos="284" w:val="left"/>
        </w:tabs>
        <w:ind w:firstLine="709"/>
        <w:jc w:val="both"/>
      </w:pPr>
      <w:r>
        <w:t>6.2. Для участия в продаже имущества на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аукциона в электронной форме открытого по составу участников и по форме подачи предложений о цене имущества.</w:t>
      </w:r>
    </w:p>
    <w:p w14:paraId="C0000000">
      <w:pPr>
        <w:widowControl w:val="1"/>
        <w:tabs>
          <w:tab w:leader="none" w:pos="284" w:val="left"/>
        </w:tabs>
        <w:ind w:firstLine="709"/>
        <w:jc w:val="both"/>
        <w:rPr>
          <w:b w:val="1"/>
        </w:rPr>
      </w:pPr>
      <w:r>
        <w:t xml:space="preserve">6.3. </w:t>
      </w:r>
      <w:r>
        <w:rPr>
          <w:b w:val="1"/>
        </w:rPr>
        <w:t>Заявка (приложение № 1), включающая опись,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C1000000">
      <w:pPr>
        <w:widowControl w:val="1"/>
        <w:tabs>
          <w:tab w:leader="none" w:pos="284" w:val="left"/>
        </w:tabs>
        <w:ind w:firstLine="709"/>
        <w:jc w:val="both"/>
      </w:pPr>
      <w:r>
        <w:t>6.4. Одно лицо имеет право подать только одну заявку.</w:t>
      </w:r>
    </w:p>
    <w:p w14:paraId="C2000000">
      <w:pPr>
        <w:widowControl w:val="1"/>
        <w:tabs>
          <w:tab w:leader="none" w:pos="284" w:val="left"/>
        </w:tabs>
        <w:ind w:firstLine="709"/>
        <w:jc w:val="both"/>
      </w:pPr>
      <w:r>
        <w:t>6.5. При приеме заявок от претендентов Оператор электронной площадки продаж обеспечивает:</w:t>
      </w:r>
    </w:p>
    <w:p w14:paraId="C3000000">
      <w:pPr>
        <w:widowControl w:val="1"/>
        <w:tabs>
          <w:tab w:leader="none" w:pos="284" w:val="left"/>
        </w:tabs>
        <w:ind w:firstLine="709"/>
        <w:jc w:val="both"/>
      </w:pPr>
      <w: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C4000000">
      <w:pPr>
        <w:widowControl w:val="1"/>
        <w:tabs>
          <w:tab w:leader="none" w:pos="284" w:val="left"/>
        </w:tabs>
        <w:ind w:firstLine="709"/>
        <w:jc w:val="both"/>
      </w:pPr>
      <w:r>
        <w:t xml:space="preserve">- конфиденциальность данных о Претендентах и Участниках, за исключением случая </w:t>
      </w:r>
      <w:r>
        <w:t>направления электронных документов Продавцу в порядке, установленном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C5000000">
      <w:pPr>
        <w:widowControl w:val="1"/>
        <w:tabs>
          <w:tab w:leader="none" w:pos="284" w:val="left"/>
        </w:tabs>
        <w:ind w:firstLine="709"/>
        <w:jc w:val="both"/>
      </w:pPr>
      <w:r>
        <w:t>6.6.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C6000000">
      <w:pPr>
        <w:widowControl w:val="1"/>
        <w:tabs>
          <w:tab w:leader="none" w:pos="284" w:val="left"/>
        </w:tabs>
        <w:ind w:firstLine="709"/>
        <w:jc w:val="both"/>
      </w:pPr>
      <w:r>
        <w:t>6.7. Заявки с прилагаемыми к ним документами, поданные с нарушением установленного срока, на электронной площадке не регистрируются.</w:t>
      </w:r>
    </w:p>
    <w:p w14:paraId="C7000000">
      <w:pPr>
        <w:widowControl w:val="1"/>
        <w:tabs>
          <w:tab w:leader="none" w:pos="284" w:val="left"/>
        </w:tabs>
        <w:ind w:firstLine="709"/>
        <w:jc w:val="both"/>
      </w:pPr>
      <w: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C8000000">
      <w:pPr>
        <w:widowControl w:val="1"/>
        <w:tabs>
          <w:tab w:leader="none" w:pos="284" w:val="left"/>
        </w:tabs>
        <w:ind w:firstLine="709"/>
        <w:jc w:val="both"/>
      </w:pPr>
      <w: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C9000000">
      <w:pPr>
        <w:widowControl w:val="1"/>
        <w:tabs>
          <w:tab w:leader="none" w:pos="284" w:val="left"/>
        </w:tabs>
        <w:ind w:firstLine="709"/>
        <w:jc w:val="both"/>
      </w:pPr>
      <w:r>
        <w:t>6.10. 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Собственноручные подписи на оригиналах и копиях документов должны быть расшифрованы (указывается должность, фамилия и инициалы подписавшегося лица).</w:t>
      </w:r>
    </w:p>
    <w:p w14:paraId="CA000000">
      <w:pPr>
        <w:widowControl w:val="1"/>
        <w:tabs>
          <w:tab w:leader="none" w:pos="284" w:val="left"/>
        </w:tabs>
        <w:ind w:firstLine="709"/>
        <w:jc w:val="both"/>
        <w:rPr>
          <w:b w:val="1"/>
        </w:rPr>
      </w:pPr>
      <w:r>
        <w:rPr>
          <w:b w:val="1"/>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CB000000">
      <w:pPr>
        <w:widowControl w:val="1"/>
        <w:tabs>
          <w:tab w:leader="none" w:pos="284" w:val="left"/>
        </w:tabs>
        <w:ind w:firstLine="709"/>
        <w:jc w:val="both"/>
      </w:pPr>
    </w:p>
    <w:p w14:paraId="CC000000">
      <w:pPr>
        <w:widowControl w:val="1"/>
        <w:tabs>
          <w:tab w:leader="none" w:pos="284" w:val="left"/>
        </w:tabs>
        <w:ind w:firstLine="709"/>
        <w:jc w:val="both"/>
      </w:pPr>
    </w:p>
    <w:p w14:paraId="CD000000">
      <w:pPr>
        <w:widowControl w:val="1"/>
        <w:numPr>
          <w:ilvl w:val="0"/>
          <w:numId w:val="1"/>
        </w:numPr>
        <w:ind w:firstLine="851" w:left="0"/>
        <w:jc w:val="center"/>
        <w:rPr>
          <w:b w:val="1"/>
        </w:rPr>
      </w:pPr>
      <w:r>
        <w:rPr>
          <w:b w:val="1"/>
        </w:rPr>
        <w:t>Перечень документов представляемый участниками торгов и требования к их оформлению</w:t>
      </w:r>
    </w:p>
    <w:p w14:paraId="CE000000">
      <w:pPr>
        <w:widowControl w:val="1"/>
        <w:ind w:firstLine="851"/>
        <w:jc w:val="center"/>
        <w:rPr>
          <w:b w:val="1"/>
        </w:rPr>
      </w:pPr>
    </w:p>
    <w:p w14:paraId="CF000000">
      <w:pPr>
        <w:widowControl w:val="1"/>
        <w:tabs>
          <w:tab w:leader="none" w:pos="284" w:val="left"/>
        </w:tabs>
        <w:ind w:firstLine="709"/>
        <w:jc w:val="both"/>
      </w:pPr>
      <w:r>
        <w:t xml:space="preserve">7.1. </w:t>
      </w:r>
      <w:r>
        <w:rPr>
          <w:b w:val="1"/>
          <w:u w:val="single"/>
        </w:rPr>
        <w:t>Одновременно с Заявкой на участие в аукционе (включает в себя Опись предоставляемых документов)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D0000000">
      <w:pPr>
        <w:widowControl w:val="1"/>
        <w:tabs>
          <w:tab w:leader="none" w:pos="284" w:val="left"/>
        </w:tabs>
        <w:ind w:firstLine="709"/>
        <w:jc w:val="both"/>
      </w:pPr>
      <w: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D1000000">
      <w:pPr>
        <w:widowControl w:val="1"/>
        <w:tabs>
          <w:tab w:leader="none" w:pos="284" w:val="left"/>
        </w:tabs>
        <w:ind w:firstLine="709"/>
        <w:jc w:val="both"/>
      </w:pPr>
      <w: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D2000000">
      <w:pPr>
        <w:widowControl w:val="1"/>
        <w:tabs>
          <w:tab w:leader="none" w:pos="284" w:val="left"/>
        </w:tabs>
        <w:ind w:firstLine="709"/>
        <w:jc w:val="both"/>
      </w:pPr>
      <w:r>
        <w:t>7.1.2. юридические лица:</w:t>
      </w:r>
    </w:p>
    <w:p w14:paraId="D3000000">
      <w:pPr>
        <w:widowControl w:val="1"/>
        <w:tabs>
          <w:tab w:leader="none" w:pos="284" w:val="left"/>
        </w:tabs>
        <w:ind w:firstLine="709"/>
        <w:jc w:val="both"/>
      </w:pPr>
      <w:r>
        <w:t>- заверенные копии учредительных документов;</w:t>
      </w:r>
    </w:p>
    <w:p w14:paraId="D4000000">
      <w:pPr>
        <w:widowControl w:val="1"/>
        <w:tabs>
          <w:tab w:leader="none" w:pos="284" w:val="left"/>
        </w:tabs>
        <w:ind w:firstLine="709"/>
        <w:jc w:val="both"/>
      </w:pPr>
      <w: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D5000000">
      <w:pPr>
        <w:widowControl w:val="1"/>
        <w:tabs>
          <w:tab w:leader="none" w:pos="284" w:val="left"/>
        </w:tabs>
        <w:ind w:firstLine="709"/>
        <w:jc w:val="both"/>
      </w:pPr>
      <w: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D6000000">
      <w:pPr>
        <w:widowControl w:val="1"/>
        <w:tabs>
          <w:tab w:leader="none" w:pos="284" w:val="left"/>
        </w:tabs>
        <w:ind w:firstLine="709"/>
        <w:jc w:val="both"/>
      </w:pPr>
      <w: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7000000">
      <w:pPr>
        <w:widowControl w:val="1"/>
        <w:tabs>
          <w:tab w:leader="none" w:pos="284" w:val="left"/>
        </w:tabs>
        <w:ind w:firstLine="709"/>
        <w:jc w:val="both"/>
      </w:pPr>
      <w:r>
        <w:t xml:space="preserve">7.1.3. физические лица, в том числе индивидуальные предприниматели </w:t>
      </w:r>
    </w:p>
    <w:p w14:paraId="D8000000">
      <w:pPr>
        <w:widowControl w:val="1"/>
        <w:tabs>
          <w:tab w:leader="none" w:pos="284" w:val="left"/>
        </w:tabs>
        <w:ind w:firstLine="709"/>
        <w:jc w:val="both"/>
      </w:pPr>
      <w:r>
        <w:t>-документ, удостоверяющий личность (</w:t>
      </w:r>
      <w:r>
        <w:rPr>
          <w:b w:val="1"/>
        </w:rPr>
        <w:t>копия всех страниц, включая корочки</w:t>
      </w:r>
      <w:r>
        <w:t>).</w:t>
      </w:r>
    </w:p>
    <w:p w14:paraId="D9000000">
      <w:pPr>
        <w:widowControl w:val="1"/>
        <w:tabs>
          <w:tab w:leader="none" w:pos="284" w:val="left"/>
        </w:tabs>
        <w:ind w:firstLine="709"/>
        <w:jc w:val="both"/>
      </w:pPr>
      <w: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A000000">
      <w:pPr>
        <w:widowControl w:val="1"/>
        <w:tabs>
          <w:tab w:leader="none" w:pos="284" w:val="left"/>
        </w:tabs>
        <w:ind w:firstLine="709"/>
        <w:jc w:val="both"/>
      </w:pPr>
      <w:r>
        <w:t>7.1.4.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DB000000">
      <w:pPr>
        <w:widowControl w:val="1"/>
        <w:tabs>
          <w:tab w:leader="none" w:pos="284" w:val="left"/>
        </w:tabs>
        <w:ind w:firstLine="709"/>
        <w:jc w:val="both"/>
      </w:pPr>
      <w:r>
        <w:t xml:space="preserve">7.1.5.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DC000000">
      <w:pPr>
        <w:widowControl w:val="1"/>
        <w:tabs>
          <w:tab w:leader="none" w:pos="284" w:val="left"/>
        </w:tabs>
        <w:ind w:firstLine="709"/>
        <w:jc w:val="both"/>
      </w:pPr>
      <w:r>
        <w:t xml:space="preserve">7.1.6. Заявки подаются одновременно с полным комплектом документов, установленным в настоящем информационном сообщении. </w:t>
      </w:r>
    </w:p>
    <w:p w14:paraId="DD000000">
      <w:pPr>
        <w:widowControl w:val="1"/>
        <w:tabs>
          <w:tab w:leader="none" w:pos="284" w:val="left"/>
        </w:tabs>
        <w:ind w:firstLine="709"/>
        <w:jc w:val="both"/>
      </w:pPr>
      <w:r>
        <w:t xml:space="preserve">7.1.7.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DE000000">
      <w:pPr>
        <w:widowControl w:val="1"/>
        <w:tabs>
          <w:tab w:leader="none" w:pos="284" w:val="left"/>
        </w:tabs>
        <w:ind w:firstLine="709"/>
        <w:jc w:val="both"/>
      </w:pPr>
      <w:r>
        <w:t>7.1.8.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DF000000">
      <w:pPr>
        <w:widowControl w:val="1"/>
        <w:tabs>
          <w:tab w:leader="none" w:pos="284" w:val="left"/>
        </w:tabs>
        <w:ind w:firstLine="709"/>
        <w:jc w:val="both"/>
      </w:pPr>
    </w:p>
    <w:p w14:paraId="E0000000">
      <w:pPr>
        <w:widowControl w:val="1"/>
        <w:ind/>
        <w:jc w:val="center"/>
      </w:pPr>
      <w:r>
        <w:rPr>
          <w:b w:val="1"/>
        </w:rPr>
        <w:t>8. Ограничения участия в аукционе отдельных категорий физических и юридических лиц</w:t>
      </w:r>
    </w:p>
    <w:p w14:paraId="E1000000">
      <w:pPr>
        <w:widowControl w:val="1"/>
        <w:ind/>
        <w:jc w:val="center"/>
      </w:pPr>
    </w:p>
    <w:p w14:paraId="E2000000">
      <w:pPr>
        <w:widowControl w:val="1"/>
        <w:ind w:firstLine="720"/>
        <w:jc w:val="both"/>
      </w:pPr>
      <w: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br/>
      </w:r>
      <w: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E3000000">
      <w:pPr>
        <w:widowControl w:val="1"/>
        <w:ind w:firstLine="709"/>
        <w:jc w:val="both"/>
      </w:pPr>
      <w:r>
        <w:t xml:space="preserve">8.2. Обращаем внимание иностранных инвесторов об ответственности </w:t>
      </w:r>
      <w:r>
        <w:br/>
      </w:r>
      <w: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E4000000">
      <w:pPr>
        <w:widowControl w:val="1"/>
        <w:ind w:firstLine="720"/>
        <w:jc w:val="both"/>
      </w:pPr>
      <w: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E5000000">
      <w:pPr>
        <w:widowControl w:val="1"/>
        <w:ind w:firstLine="720"/>
        <w:jc w:val="both"/>
      </w:pPr>
      <w:r>
        <w:t>- государственных и муниципальных унитарных предприятий, государственных и муниципальных учреждений;</w:t>
      </w:r>
    </w:p>
    <w:p w14:paraId="E6000000">
      <w:pPr>
        <w:widowControl w:val="1"/>
        <w:ind w:firstLine="720"/>
        <w:jc w:val="both"/>
      </w:pPr>
      <w: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E7000000">
      <w:pPr>
        <w:widowControl w:val="1"/>
        <w:ind w:firstLine="720"/>
        <w:jc w:val="both"/>
      </w:pPr>
      <w: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E8000000">
      <w:pPr>
        <w:widowControl w:val="1"/>
        <w:ind w:firstLine="720"/>
        <w:jc w:val="both"/>
      </w:pPr>
    </w:p>
    <w:p w14:paraId="E9000000">
      <w:pPr>
        <w:pStyle w:val="Style_9"/>
      </w:pPr>
    </w:p>
    <w:p w14:paraId="EA000000">
      <w:pPr>
        <w:pStyle w:val="Style_7"/>
        <w:widowControl w:val="1"/>
        <w:ind w:firstLine="709" w:left="360"/>
        <w:jc w:val="center"/>
        <w:rPr>
          <w:b w:val="1"/>
        </w:rPr>
      </w:pPr>
      <w:r>
        <w:rPr>
          <w:b w:val="1"/>
        </w:rPr>
        <w:t>9.Порядок внесения задатка и его возврата</w:t>
      </w:r>
    </w:p>
    <w:p w14:paraId="EB000000">
      <w:pPr>
        <w:pStyle w:val="Style_7"/>
        <w:widowControl w:val="1"/>
        <w:ind w:firstLine="709" w:left="360"/>
        <w:jc w:val="center"/>
        <w:rPr>
          <w:b w:val="1"/>
        </w:rPr>
      </w:pPr>
    </w:p>
    <w:p w14:paraId="EC000000">
      <w:pPr>
        <w:widowControl w:val="1"/>
        <w:tabs>
          <w:tab w:leader="none" w:pos="284" w:val="left"/>
        </w:tabs>
        <w:ind w:firstLine="709"/>
        <w:jc w:val="both"/>
        <w:rPr>
          <w:b w:val="1"/>
        </w:rPr>
      </w:pPr>
      <w:r>
        <w:t>9.1</w:t>
      </w:r>
      <w:r>
        <w:rPr>
          <w:b w:val="1"/>
        </w:rPr>
        <w:t>.</w:t>
      </w:r>
      <w: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14:paraId="ED000000">
      <w:pPr>
        <w:widowControl w:val="1"/>
        <w:tabs>
          <w:tab w:leader="none" w:pos="284" w:val="left"/>
        </w:tabs>
        <w:ind w:firstLine="709"/>
        <w:jc w:val="both"/>
        <w:rPr>
          <w:b w:val="1"/>
        </w:rPr>
      </w:pPr>
      <w:r>
        <w:t>Задаток вносится в валюте Российской Федерации на реквизиты оператора электронной площадки:</w:t>
      </w:r>
    </w:p>
    <w:p w14:paraId="EE000000">
      <w:pPr>
        <w:widowControl w:val="1"/>
        <w:tabs>
          <w:tab w:leader="none" w:pos="284" w:val="left"/>
        </w:tabs>
        <w:ind w:firstLine="425" w:left="284"/>
        <w:jc w:val="both"/>
        <w:rPr>
          <w:u w:val="single"/>
        </w:rPr>
      </w:pPr>
      <w:r>
        <w:rPr>
          <w:u w:val="single"/>
        </w:rPr>
        <w:t>ПОЛУЧАТЕЛЬ: Наименование: АО «Сбербанк-АСТ»</w:t>
      </w:r>
    </w:p>
    <w:p w14:paraId="EF000000">
      <w:pPr>
        <w:widowControl w:val="1"/>
        <w:tabs>
          <w:tab w:leader="none" w:pos="284" w:val="left"/>
        </w:tabs>
        <w:ind w:firstLine="425" w:left="284"/>
        <w:jc w:val="both"/>
        <w:rPr>
          <w:u w:val="single"/>
        </w:rPr>
      </w:pPr>
      <w:r>
        <w:rPr>
          <w:u w:val="single"/>
        </w:rPr>
        <w:t>ИНН: 7707308480</w:t>
      </w:r>
    </w:p>
    <w:p w14:paraId="F0000000">
      <w:pPr>
        <w:widowControl w:val="1"/>
        <w:tabs>
          <w:tab w:leader="none" w:pos="284" w:val="left"/>
        </w:tabs>
        <w:ind w:firstLine="425" w:left="284"/>
        <w:jc w:val="both"/>
        <w:rPr>
          <w:u w:val="single"/>
        </w:rPr>
      </w:pPr>
      <w:r>
        <w:rPr>
          <w:u w:val="single"/>
        </w:rPr>
        <w:t>КПП: 770401001</w:t>
      </w:r>
    </w:p>
    <w:p w14:paraId="F1000000">
      <w:pPr>
        <w:widowControl w:val="1"/>
        <w:tabs>
          <w:tab w:leader="none" w:pos="284" w:val="left"/>
        </w:tabs>
        <w:ind w:firstLine="425" w:left="284"/>
        <w:jc w:val="both"/>
        <w:rPr>
          <w:u w:val="single"/>
        </w:rPr>
      </w:pPr>
      <w:r>
        <w:rPr>
          <w:u w:val="single"/>
        </w:rPr>
        <w:t>Расчетный счет: 40702810300020038047</w:t>
      </w:r>
    </w:p>
    <w:p w14:paraId="F2000000">
      <w:pPr>
        <w:widowControl w:val="1"/>
        <w:tabs>
          <w:tab w:leader="none" w:pos="284" w:val="left"/>
        </w:tabs>
        <w:ind w:firstLine="425" w:left="284"/>
        <w:jc w:val="both"/>
        <w:rPr>
          <w:u w:val="single"/>
        </w:rPr>
      </w:pPr>
      <w:r>
        <w:rPr>
          <w:u w:val="single"/>
        </w:rPr>
        <w:t>БАНК ПОЛУЧАТЕЛЯ:</w:t>
      </w:r>
    </w:p>
    <w:p w14:paraId="F3000000">
      <w:pPr>
        <w:widowControl w:val="1"/>
        <w:tabs>
          <w:tab w:leader="none" w:pos="284" w:val="left"/>
        </w:tabs>
        <w:ind w:firstLine="425" w:left="284"/>
        <w:jc w:val="both"/>
        <w:rPr>
          <w:u w:val="single"/>
        </w:rPr>
      </w:pPr>
      <w:r>
        <w:rPr>
          <w:u w:val="single"/>
        </w:rPr>
        <w:t xml:space="preserve">Наименование банка: ПАО СБЕРБАНК </w:t>
      </w:r>
    </w:p>
    <w:p w14:paraId="F4000000">
      <w:pPr>
        <w:widowControl w:val="1"/>
        <w:tabs>
          <w:tab w:leader="none" w:pos="284" w:val="left"/>
        </w:tabs>
        <w:ind w:firstLine="425" w:left="284"/>
        <w:jc w:val="both"/>
        <w:rPr>
          <w:u w:val="single"/>
        </w:rPr>
      </w:pPr>
      <w:r>
        <w:rPr>
          <w:u w:val="single"/>
        </w:rPr>
        <w:t>БИК: 044525225</w:t>
      </w:r>
    </w:p>
    <w:p w14:paraId="F5000000">
      <w:pPr>
        <w:widowControl w:val="1"/>
        <w:tabs>
          <w:tab w:leader="none" w:pos="284" w:val="left"/>
        </w:tabs>
        <w:ind w:firstLine="425" w:left="284"/>
        <w:jc w:val="both"/>
        <w:rPr>
          <w:u w:val="single"/>
        </w:rPr>
      </w:pPr>
      <w:r>
        <w:rPr>
          <w:u w:val="single"/>
        </w:rPr>
        <w:t>Корреспондентский счет: 30101810400000000225</w:t>
      </w:r>
    </w:p>
    <w:p w14:paraId="F6000000">
      <w:pPr>
        <w:widowControl w:val="1"/>
        <w:tabs>
          <w:tab w:leader="none" w:pos="284" w:val="left"/>
        </w:tabs>
        <w:ind w:firstLine="709"/>
        <w:jc w:val="both"/>
        <w:rPr>
          <w:u w:val="single"/>
        </w:rPr>
      </w:pPr>
      <w:r>
        <w:rPr>
          <w:u w:val="single"/>
        </w:rPr>
        <w:t>В назначении платежа необходимо указать: Перечисление денежных средств в качестве задатка  (ИНН плательщика), НДС не облагается.</w:t>
      </w:r>
    </w:p>
    <w:p w14:paraId="F7000000">
      <w:pPr>
        <w:widowControl w:val="1"/>
        <w:tabs>
          <w:tab w:leader="none" w:pos="284" w:val="left"/>
        </w:tabs>
        <w:ind w:firstLine="709"/>
        <w:jc w:val="both"/>
        <w:rPr>
          <w:u w:val="single"/>
        </w:rPr>
      </w:pPr>
    </w:p>
    <w:p w14:paraId="F8000000">
      <w:pPr>
        <w:widowControl w:val="1"/>
        <w:tabs>
          <w:tab w:leader="none" w:pos="284" w:val="left"/>
        </w:tabs>
        <w:ind w:firstLine="709"/>
        <w:jc w:val="both"/>
        <w:rPr>
          <w:b w:val="1"/>
          <w:u w:val="single"/>
        </w:rPr>
      </w:pPr>
      <w:r>
        <w:rPr>
          <w:b w:val="1"/>
        </w:rPr>
        <w:t xml:space="preserve">В случае оплаты физ.лицом, в  назначении платежа необходимо обязательно указывать </w:t>
      </w:r>
      <w:r>
        <w:rPr>
          <w:b w:val="1"/>
          <w:color w:val="FB290D"/>
        </w:rPr>
        <w:t>ИНН плательщика</w:t>
      </w:r>
      <w:r>
        <w:rPr>
          <w:b w:val="1"/>
        </w:rPr>
        <w:t>. В случае оплаты через сервисы ПАО «Сбербанк», в назначении платежа допустимо сокращение наименования цели до: задат.</w:t>
      </w:r>
    </w:p>
    <w:p w14:paraId="F9000000">
      <w:pPr>
        <w:widowControl w:val="1"/>
        <w:tabs>
          <w:tab w:leader="none" w:pos="284" w:val="left"/>
        </w:tabs>
        <w:ind w:firstLine="709"/>
        <w:jc w:val="both"/>
        <w:rPr>
          <w:b w:val="1"/>
          <w:u w:val="single"/>
        </w:rPr>
      </w:pPr>
      <w:r>
        <w:rPr>
          <w:b w:val="1"/>
        </w:rPr>
        <w:t xml:space="preserve">Денежные средства, поступившие </w:t>
      </w:r>
      <w:r>
        <w:rPr>
          <w:b w:val="1"/>
          <w:color w:val="FF0000"/>
        </w:rPr>
        <w:t>от третьих лиц не зачисляются</w:t>
      </w:r>
      <w:r>
        <w:rPr>
          <w:b w:val="1"/>
        </w:rPr>
        <w:t>.</w:t>
      </w:r>
    </w:p>
    <w:p w14:paraId="FA000000">
      <w:pPr>
        <w:widowControl w:val="1"/>
        <w:tabs>
          <w:tab w:leader="none" w:pos="284" w:val="left"/>
        </w:tabs>
        <w:ind w:firstLine="709"/>
        <w:jc w:val="both"/>
      </w:pPr>
      <w:r>
        <w:t xml:space="preserve">9.2. </w:t>
      </w:r>
      <w:r>
        <w:rPr>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FB000000">
      <w:pPr>
        <w:widowControl w:val="1"/>
        <w:tabs>
          <w:tab w:leader="none" w:pos="284" w:val="left"/>
        </w:tabs>
        <w:ind w:firstLine="709"/>
        <w:jc w:val="both"/>
        <w:rPr>
          <w:highlight w:val="white"/>
        </w:rPr>
      </w:pPr>
    </w:p>
    <w:p w14:paraId="FC000000">
      <w:pPr>
        <w:widowControl w:val="1"/>
        <w:tabs>
          <w:tab w:leader="none" w:pos="284" w:val="left"/>
        </w:tabs>
        <w:ind w:firstLine="709"/>
        <w:jc w:val="both"/>
        <w:rPr>
          <w:highlight w:val="white"/>
        </w:rPr>
      </w:pPr>
      <w:r>
        <w:rPr>
          <w:highlight w:val="white"/>
        </w:rPr>
        <w:t>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универсальной торговой платформе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универсальной торговой платформы (электронной площадки) на адрес электронной почты </w:t>
      </w:r>
      <w:r>
        <w:rPr>
          <w:highlight w:val="white"/>
          <w:u w:color="000000" w:val="single"/>
        </w:rPr>
        <w:fldChar w:fldCharType="begin"/>
      </w:r>
      <w:r>
        <w:rPr>
          <w:highlight w:val="white"/>
          <w:u w:color="000000" w:val="single"/>
        </w:rPr>
        <w:instrText>HYPERLINK "mailto:company@sberbank-ast.ru"</w:instrText>
      </w:r>
      <w:r>
        <w:rPr>
          <w:highlight w:val="white"/>
          <w:u w:color="000000" w:val="single"/>
        </w:rPr>
        <w:fldChar w:fldCharType="separate"/>
      </w:r>
      <w:r>
        <w:rPr>
          <w:highlight w:val="white"/>
          <w:u w:color="000000" w:val="single"/>
        </w:rPr>
        <w:t>company@sberbank-ast.ru</w:t>
      </w:r>
      <w:r>
        <w:rPr>
          <w:highlight w:val="white"/>
          <w:u w:color="000000" w:val="single"/>
        </w:rPr>
        <w:fldChar w:fldCharType="end"/>
      </w:r>
      <w:r>
        <w:rPr>
          <w:highlight w:val="white"/>
        </w:rPr>
        <w:t> с приложением копии платежного поручения.</w:t>
      </w:r>
    </w:p>
    <w:p w14:paraId="FD000000">
      <w:pPr>
        <w:widowControl w:val="1"/>
        <w:tabs>
          <w:tab w:leader="none" w:pos="284" w:val="left"/>
        </w:tabs>
        <w:ind w:firstLine="709"/>
        <w:jc w:val="both"/>
        <w:rPr>
          <w:highlight w:val="white"/>
        </w:rPr>
      </w:pPr>
      <w:r>
        <w:rPr>
          <w:highlight w:val="white"/>
        </w:rPr>
        <w:t>При нарушении требований к назначению платежа, Оператор универсальной торговой платформы (электронной площадки)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FE000000">
      <w:pPr>
        <w:widowControl w:val="1"/>
        <w:tabs>
          <w:tab w:leader="none" w:pos="284" w:val="left"/>
        </w:tabs>
        <w:ind w:firstLine="709"/>
        <w:jc w:val="both"/>
      </w:pPr>
    </w:p>
    <w:p w14:paraId="FF000000">
      <w:pPr>
        <w:widowControl w:val="1"/>
        <w:tabs>
          <w:tab w:leader="none" w:pos="284" w:val="left"/>
        </w:tabs>
        <w:ind w:firstLine="709"/>
        <w:jc w:val="both"/>
      </w:pPr>
      <w:r>
        <w:t>9.3. 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p>
    <w:p w14:paraId="00010000">
      <w:pPr>
        <w:widowControl w:val="1"/>
        <w:tabs>
          <w:tab w:leader="none" w:pos="284" w:val="left"/>
        </w:tabs>
        <w:ind w:firstLine="709"/>
        <w:jc w:val="both"/>
      </w:pPr>
      <w:r>
        <w:t>9.4. Лицам, перечислившим задаток для участия в продаже федерального имущества на аукционе денежные средства возвращаются в следующем порядке:</w:t>
      </w:r>
    </w:p>
    <w:p w14:paraId="01010000">
      <w:pPr>
        <w:widowControl w:val="1"/>
        <w:tabs>
          <w:tab w:leader="none" w:pos="284" w:val="left"/>
        </w:tabs>
        <w:ind w:firstLine="709"/>
        <w:jc w:val="both"/>
      </w:pPr>
      <w:r>
        <w:t xml:space="preserve">а) 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 </w:t>
      </w:r>
    </w:p>
    <w:p w14:paraId="02010000">
      <w:pPr>
        <w:widowControl w:val="1"/>
        <w:tabs>
          <w:tab w:leader="none" w:pos="284" w:val="left"/>
        </w:tabs>
        <w:ind w:firstLine="709"/>
        <w:jc w:val="both"/>
      </w:pPr>
      <w:r>
        <w:t xml:space="preserve">б) претендентам, не допущенным к участию в продаже имущества, - в течение 5 </w:t>
      </w:r>
      <w:r>
        <w:t>календарных дней со дня подписания протокола о признании претендентов участниками.</w:t>
      </w:r>
    </w:p>
    <w:p w14:paraId="03010000">
      <w:pPr>
        <w:widowControl w:val="1"/>
        <w:tabs>
          <w:tab w:leader="none" w:pos="284" w:val="left"/>
        </w:tabs>
        <w:ind w:firstLine="709"/>
        <w:jc w:val="both"/>
      </w:pPr>
      <w:r>
        <w:t>Порядок возврата задатка определен оператором электронной площадки в рамках действующего законодательства.</w:t>
      </w:r>
    </w:p>
    <w:p w14:paraId="04010000">
      <w:pPr>
        <w:widowControl w:val="1"/>
        <w:tabs>
          <w:tab w:leader="none" w:pos="284" w:val="left"/>
        </w:tabs>
        <w:ind w:firstLine="709"/>
        <w:jc w:val="both"/>
      </w:pPr>
      <w:r>
        <w:t xml:space="preserve"> 9.5. 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 </w:t>
      </w:r>
    </w:p>
    <w:p w14:paraId="05010000">
      <w:pPr>
        <w:widowControl w:val="1"/>
        <w:tabs>
          <w:tab w:leader="none" w:pos="284" w:val="left"/>
        </w:tabs>
        <w:ind w:firstLine="709"/>
        <w:jc w:val="both"/>
      </w:pPr>
      <w:r>
        <w:t xml:space="preserve">9.6.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06010000">
      <w:pPr>
        <w:widowControl w:val="1"/>
        <w:tabs>
          <w:tab w:leader="none" w:pos="284" w:val="left"/>
        </w:tabs>
        <w:ind w:firstLine="709"/>
        <w:jc w:val="both"/>
      </w:pPr>
      <w:r>
        <w:t xml:space="preserve">9.7.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07010000">
      <w:pPr>
        <w:widowControl w:val="1"/>
        <w:tabs>
          <w:tab w:leader="none" w:pos="284" w:val="left"/>
        </w:tabs>
        <w:ind w:firstLine="709"/>
        <w:jc w:val="both"/>
      </w:pPr>
      <w:r>
        <w:t xml:space="preserve">9.8.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08010000">
      <w:pPr>
        <w:widowControl w:val="1"/>
        <w:tabs>
          <w:tab w:leader="none" w:pos="284" w:val="left"/>
        </w:tabs>
        <w:ind w:firstLine="709"/>
        <w:jc w:val="both"/>
        <w:rPr>
          <w:b w:val="1"/>
          <w:u w:val="single"/>
        </w:rPr>
      </w:pPr>
      <w:r>
        <w:t>9.9.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09010000">
      <w:pPr>
        <w:widowControl w:val="1"/>
        <w:tabs>
          <w:tab w:leader="none" w:pos="284" w:val="left"/>
        </w:tabs>
        <w:ind w:firstLine="709"/>
        <w:jc w:val="center"/>
        <w:rPr>
          <w:b w:val="1"/>
        </w:rPr>
      </w:pPr>
    </w:p>
    <w:p w14:paraId="0A010000">
      <w:pPr>
        <w:widowControl w:val="1"/>
        <w:tabs>
          <w:tab w:leader="none" w:pos="284" w:val="left"/>
        </w:tabs>
        <w:ind w:firstLine="709"/>
        <w:jc w:val="center"/>
      </w:pPr>
      <w:r>
        <w:rPr>
          <w:b w:val="1"/>
        </w:rPr>
        <w:t xml:space="preserve">10. Порядок ознакомления со сведениями об Имуществе, </w:t>
      </w:r>
      <w:r>
        <w:rPr>
          <w:b w:val="1"/>
        </w:rPr>
        <w:br/>
      </w:r>
      <w:r>
        <w:rPr>
          <w:b w:val="1"/>
        </w:rPr>
        <w:t>выставляемом на аукционе</w:t>
      </w:r>
    </w:p>
    <w:p w14:paraId="0B010000">
      <w:pPr>
        <w:widowControl w:val="1"/>
        <w:tabs>
          <w:tab w:leader="none" w:pos="284" w:val="left"/>
        </w:tabs>
        <w:ind w:firstLine="709"/>
        <w:jc w:val="center"/>
      </w:pPr>
    </w:p>
    <w:p w14:paraId="0C010000">
      <w:pPr>
        <w:widowControl w:val="1"/>
        <w:ind w:firstLine="709"/>
        <w:jc w:val="both"/>
      </w:pPr>
      <w:r>
        <w:t>10.1. Информация о проведении аукциона по продаже имущества размещается на</w:t>
      </w:r>
      <w:r>
        <w:br/>
      </w:r>
      <w:r>
        <w:t xml:space="preserve">официальном сайте Российской Федерации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t xml:space="preserve">, на сайте Продавца в сети «Интернет» </w:t>
      </w:r>
      <w:r>
        <w:rPr>
          <w:rStyle w:val="Style_6_ch"/>
          <w:sz w:val="26"/>
        </w:rPr>
        <w:fldChar w:fldCharType="begin"/>
      </w:r>
      <w:r>
        <w:rPr>
          <w:rStyle w:val="Style_6_ch"/>
          <w:sz w:val="26"/>
        </w:rPr>
        <w:instrText>HYPERLINK "https://tu22.rosim.ru/"</w:instrText>
      </w:r>
      <w:r>
        <w:rPr>
          <w:rStyle w:val="Style_6_ch"/>
          <w:sz w:val="26"/>
        </w:rPr>
        <w:fldChar w:fldCharType="separate"/>
      </w:r>
      <w:r>
        <w:rPr>
          <w:rStyle w:val="Style_6_ch"/>
          <w:sz w:val="26"/>
        </w:rPr>
        <w:t>https://tu22.rosim.gov.ru/</w:t>
      </w:r>
      <w:r>
        <w:rPr>
          <w:rStyle w:val="Style_6_ch"/>
          <w:sz w:val="26"/>
        </w:rPr>
        <w:fldChar w:fldCharType="end"/>
      </w:r>
      <w:r>
        <w:t xml:space="preserve">, на сайте электронной площадки (п. 3.3 настоящего Информационного сообщения) и содержит следующее: </w:t>
      </w:r>
    </w:p>
    <w:p w14:paraId="0D010000">
      <w:pPr>
        <w:widowControl w:val="1"/>
        <w:ind w:firstLine="709"/>
        <w:jc w:val="both"/>
      </w:pPr>
      <w:r>
        <w:t>а) информационное сообщение о проведении продажи имущества;</w:t>
      </w:r>
    </w:p>
    <w:p w14:paraId="0E010000">
      <w:pPr>
        <w:widowControl w:val="1"/>
        <w:ind w:firstLine="709"/>
        <w:jc w:val="both"/>
      </w:pPr>
      <w:r>
        <w:t>б) форма заявки (приложение № 1);</w:t>
      </w:r>
    </w:p>
    <w:p w14:paraId="0F010000">
      <w:pPr>
        <w:widowControl w:val="1"/>
        <w:ind w:firstLine="709"/>
        <w:jc w:val="both"/>
      </w:pPr>
      <w:r>
        <w:t>в) проект договора купли-продажи имущества (приложение № 2);</w:t>
      </w:r>
    </w:p>
    <w:p w14:paraId="10010000">
      <w:pPr>
        <w:widowControl w:val="1"/>
        <w:ind w:firstLine="709"/>
        <w:jc w:val="both"/>
      </w:pPr>
      <w:r>
        <w:t xml:space="preserve">г) иные сведения, предусмотренные Федеральным законом от 21 декабря 2001 г. </w:t>
      </w:r>
      <w:r>
        <w:br/>
      </w:r>
      <w:r>
        <w:t>№ 178-ФЗ «О приватизации государственного и муниципального имущества».</w:t>
      </w:r>
    </w:p>
    <w:p w14:paraId="11010000">
      <w:pPr>
        <w:widowControl w:val="1"/>
        <w:ind w:firstLine="709"/>
        <w:jc w:val="both"/>
      </w:pPr>
      <w:r>
        <w:t xml:space="preserve">10.2. 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sz w:val="26"/>
        </w:rPr>
        <w:fldChar w:fldCharType="begin"/>
      </w:r>
      <w:r>
        <w:rPr>
          <w:rStyle w:val="Style_6_ch"/>
          <w:sz w:val="26"/>
        </w:rPr>
        <w:instrText>HYPERLINK "https://tu22.rosim.ru/"</w:instrText>
      </w:r>
      <w:r>
        <w:rPr>
          <w:rStyle w:val="Style_6_ch"/>
          <w:sz w:val="26"/>
        </w:rPr>
        <w:fldChar w:fldCharType="separate"/>
      </w:r>
      <w:r>
        <w:rPr>
          <w:rStyle w:val="Style_6_ch"/>
          <w:sz w:val="26"/>
        </w:rPr>
        <w:t>https://tu22.rosim.gov.ru/</w:t>
      </w:r>
      <w:r>
        <w:rPr>
          <w:rStyle w:val="Style_6_ch"/>
          <w:sz w:val="26"/>
        </w:rPr>
        <w:fldChar w:fldCharType="end"/>
      </w:r>
      <w:r>
        <w:t xml:space="preserve">, официальном сайте Российской Федерации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t xml:space="preserve">, на сайте в сети «Интернет» Оператора электронной площадки </w:t>
      </w:r>
      <w:r>
        <w:rPr>
          <w:rStyle w:val="Style_6_ch"/>
        </w:rPr>
        <w:fldChar w:fldCharType="begin"/>
      </w:r>
      <w:r>
        <w:rPr>
          <w:rStyle w:val="Style_6_ch"/>
        </w:rPr>
        <w:instrText>HYPERLINK "https://www.sberbank-ast.ru/"</w:instrText>
      </w:r>
      <w:r>
        <w:rPr>
          <w:rStyle w:val="Style_6_ch"/>
        </w:rPr>
        <w:fldChar w:fldCharType="separate"/>
      </w:r>
      <w:r>
        <w:rPr>
          <w:rStyle w:val="Style_6_ch"/>
        </w:rPr>
        <w:t>https://www.sberbank-ast.ru/</w:t>
      </w:r>
      <w:r>
        <w:rPr>
          <w:rStyle w:val="Style_6_ch"/>
        </w:rPr>
        <w:fldChar w:fldCharType="end"/>
      </w:r>
      <w:r>
        <w:t>, а также на сайтах www.avito.ru, www.cian.ru, www.domclick.ru и по телефонам: 8(3852)223842 доб. 4408, 4409.</w:t>
      </w:r>
    </w:p>
    <w:p w14:paraId="12010000">
      <w:pPr>
        <w:widowControl w:val="1"/>
        <w:ind w:firstLine="709"/>
        <w:jc w:val="both"/>
      </w:pPr>
      <w:r>
        <w:t>10.3.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14:paraId="13010000">
      <w:pPr>
        <w:widowControl w:val="1"/>
        <w:ind w:firstLine="709"/>
        <w:jc w:val="both"/>
      </w:pPr>
      <w: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14010000">
      <w:pPr>
        <w:widowControl w:val="1"/>
        <w:ind w:firstLine="709"/>
        <w:jc w:val="both"/>
      </w:pPr>
      <w: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15010000">
      <w:pPr>
        <w:widowControl w:val="1"/>
        <w:ind w:firstLine="709"/>
        <w:jc w:val="both"/>
      </w:pPr>
      <w:r>
        <w:t>В случае направления запроса иностранными лицами такой запрос должен иметь перевод на русский язык.</w:t>
      </w:r>
    </w:p>
    <w:p w14:paraId="16010000">
      <w:pPr>
        <w:widowControl w:val="1"/>
        <w:ind w:firstLine="709"/>
        <w:jc w:val="both"/>
        <w:rPr>
          <w:rStyle w:val="Style_6_ch"/>
          <w:color w:val="000000"/>
        </w:rPr>
      </w:pPr>
      <w:r>
        <w:t>10.4. С дополнительной информацией о приватизируемом имуществе можно ознакомиться по телефонам: 8(3852)22-38-42 доб. 4408, 4409, по адресам электронной почты:</w:t>
      </w:r>
      <w:r>
        <w:rPr>
          <w:rStyle w:val="Style_6_ch"/>
          <w:color w:val="000000"/>
        </w:rPr>
        <w:fldChar w:fldCharType="begin"/>
      </w:r>
      <w:r>
        <w:rPr>
          <w:rStyle w:val="Style_6_ch"/>
          <w:color w:val="000000"/>
        </w:rPr>
        <w:instrText>HYPERLINK "mailto:d.gadylo@rosim.gov.ru"</w:instrText>
      </w:r>
      <w:r>
        <w:rPr>
          <w:rStyle w:val="Style_6_ch"/>
          <w:color w:val="000000"/>
        </w:rPr>
        <w:fldChar w:fldCharType="separate"/>
      </w:r>
      <w:r>
        <w:rPr>
          <w:rStyle w:val="Style_6_ch"/>
          <w:color w:val="000000"/>
        </w:rPr>
        <w:t>dinagadylo@yandex.ru</w:t>
      </w:r>
      <w:r>
        <w:rPr>
          <w:rStyle w:val="Style_6_ch"/>
          <w:color w:val="000000"/>
        </w:rPr>
        <w:fldChar w:fldCharType="end"/>
      </w:r>
      <w:r>
        <w:t xml:space="preserve">. </w:t>
      </w:r>
    </w:p>
    <w:p w14:paraId="17010000">
      <w:pPr>
        <w:widowControl w:val="1"/>
        <w:ind w:firstLine="709"/>
        <w:jc w:val="both"/>
      </w:pPr>
    </w:p>
    <w:p w14:paraId="18010000">
      <w:pPr>
        <w:widowControl w:val="1"/>
        <w:ind/>
        <w:jc w:val="center"/>
        <w:rPr>
          <w:b w:val="1"/>
        </w:rPr>
      </w:pPr>
      <w:r>
        <w:rPr>
          <w:b w:val="1"/>
        </w:rPr>
        <w:t>11. Порядок определения участников аукциона</w:t>
      </w:r>
    </w:p>
    <w:p w14:paraId="19010000">
      <w:pPr>
        <w:widowControl w:val="1"/>
        <w:ind/>
        <w:jc w:val="center"/>
        <w:rPr>
          <w:b w:val="1"/>
        </w:rPr>
      </w:pPr>
    </w:p>
    <w:p w14:paraId="1A010000">
      <w:pPr>
        <w:widowControl w:val="1"/>
        <w:tabs>
          <w:tab w:leader="none" w:pos="540" w:val="left"/>
        </w:tabs>
        <w:ind w:firstLine="709"/>
        <w:jc w:val="both"/>
        <w:outlineLvl w:val="0"/>
      </w:pPr>
      <w:r>
        <w:t>11.1. В день определения участников аукциона, указанный в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14:paraId="1B010000">
      <w:pPr>
        <w:widowControl w:val="1"/>
        <w:tabs>
          <w:tab w:leader="none" w:pos="540" w:val="left"/>
        </w:tabs>
        <w:ind w:firstLine="709"/>
        <w:jc w:val="both"/>
        <w:outlineLvl w:val="0"/>
      </w:pPr>
      <w: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1C010000">
      <w:pPr>
        <w:widowControl w:val="1"/>
        <w:tabs>
          <w:tab w:leader="none" w:pos="540" w:val="left"/>
        </w:tabs>
        <w:ind w:firstLine="709"/>
        <w:jc w:val="both"/>
        <w:outlineLvl w:val="0"/>
      </w:pPr>
      <w: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1D010000">
      <w:pPr>
        <w:widowControl w:val="1"/>
        <w:tabs>
          <w:tab w:leader="none" w:pos="540" w:val="left"/>
        </w:tabs>
        <w:ind w:firstLine="709"/>
        <w:jc w:val="both"/>
        <w:outlineLvl w:val="0"/>
      </w:pPr>
      <w:r>
        <w:t>В случае отказа лица, признанного единственным участником аукциона, от заключения договора аукцион признается несостоявшимся.</w:t>
      </w:r>
    </w:p>
    <w:p w14:paraId="1E010000">
      <w:pPr>
        <w:widowControl w:val="1"/>
        <w:tabs>
          <w:tab w:leader="none" w:pos="540" w:val="left"/>
        </w:tabs>
        <w:ind w:firstLine="709"/>
        <w:jc w:val="both"/>
        <w:outlineLvl w:val="0"/>
      </w:pPr>
      <w: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1F010000">
      <w:pPr>
        <w:widowControl w:val="1"/>
        <w:tabs>
          <w:tab w:leader="none" w:pos="540" w:val="left"/>
        </w:tabs>
        <w:ind w:firstLine="709"/>
        <w:jc w:val="both"/>
        <w:outlineLvl w:val="0"/>
      </w:pPr>
      <w: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20010000">
      <w:pPr>
        <w:widowControl w:val="1"/>
        <w:tabs>
          <w:tab w:leader="none" w:pos="540" w:val="left"/>
        </w:tabs>
        <w:ind w:firstLine="709"/>
        <w:jc w:val="both"/>
        <w:outlineLvl w:val="0"/>
      </w:pPr>
      <w:r>
        <w:t>11.5. Претендент приобретает статус участника аукциона с момента подписания протокола о признании претендентов участниками аукциона.</w:t>
      </w:r>
    </w:p>
    <w:p w14:paraId="21010000">
      <w:pPr>
        <w:widowControl w:val="1"/>
        <w:tabs>
          <w:tab w:leader="none" w:pos="540" w:val="left"/>
        </w:tabs>
        <w:ind w:firstLine="709"/>
        <w:jc w:val="both"/>
        <w:outlineLvl w:val="0"/>
      </w:pPr>
      <w:r>
        <w:t>11.6. Претендент не допускается к участию в аукционе по следующим основаниям:</w:t>
      </w:r>
    </w:p>
    <w:p w14:paraId="22010000">
      <w:pPr>
        <w:widowControl w:val="1"/>
        <w:tabs>
          <w:tab w:leader="none" w:pos="540" w:val="left"/>
        </w:tabs>
        <w:ind w:firstLine="709"/>
        <w:jc w:val="both"/>
        <w:outlineLvl w:val="0"/>
      </w:pPr>
      <w:r>
        <w:t>а)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23010000">
      <w:pPr>
        <w:widowControl w:val="1"/>
        <w:tabs>
          <w:tab w:leader="none" w:pos="540" w:val="left"/>
        </w:tabs>
        <w:ind w:firstLine="709"/>
        <w:jc w:val="both"/>
        <w:outlineLvl w:val="0"/>
      </w:pPr>
      <w:r>
        <w:t>б)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 и требованиям настоящего Информационного сообщения.</w:t>
      </w:r>
    </w:p>
    <w:p w14:paraId="24010000">
      <w:pPr>
        <w:widowControl w:val="1"/>
        <w:tabs>
          <w:tab w:leader="none" w:pos="540" w:val="left"/>
        </w:tabs>
        <w:ind w:firstLine="709"/>
        <w:jc w:val="both"/>
        <w:outlineLvl w:val="0"/>
      </w:pPr>
      <w:r>
        <w:t>в) не подтверждено поступление в установленный срок задатка на счет, указанный в информационном сообщении.</w:t>
      </w:r>
    </w:p>
    <w:p w14:paraId="25010000">
      <w:pPr>
        <w:widowControl w:val="1"/>
        <w:tabs>
          <w:tab w:leader="none" w:pos="540" w:val="left"/>
        </w:tabs>
        <w:ind w:firstLine="709"/>
        <w:jc w:val="both"/>
        <w:outlineLvl w:val="0"/>
      </w:pPr>
      <w:r>
        <w:t>г) заявка подана лицом, не уполномоченным Претендентом на осуществление таких действий.</w:t>
      </w:r>
    </w:p>
    <w:p w14:paraId="26010000">
      <w:pPr>
        <w:widowControl w:val="1"/>
        <w:tabs>
          <w:tab w:leader="none" w:pos="540" w:val="left"/>
        </w:tabs>
        <w:ind w:firstLine="709"/>
        <w:jc w:val="both"/>
        <w:outlineLvl w:val="0"/>
      </w:pPr>
      <w:r>
        <w:t>11.7.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7010000">
      <w:pPr>
        <w:widowControl w:val="1"/>
        <w:tabs>
          <w:tab w:leader="none" w:pos="540" w:val="left"/>
        </w:tabs>
        <w:ind w:firstLine="709"/>
        <w:jc w:val="both"/>
        <w:outlineLvl w:val="0"/>
      </w:pPr>
    </w:p>
    <w:p w14:paraId="28010000">
      <w:pPr>
        <w:widowControl w:val="1"/>
        <w:tabs>
          <w:tab w:leader="none" w:pos="540" w:val="left"/>
        </w:tabs>
        <w:ind w:firstLine="709"/>
        <w:jc w:val="both"/>
        <w:outlineLvl w:val="0"/>
      </w:pPr>
    </w:p>
    <w:p w14:paraId="29010000">
      <w:pPr>
        <w:widowControl w:val="1"/>
        <w:spacing w:line="276" w:lineRule="auto"/>
        <w:ind w:firstLine="851"/>
        <w:contextualSpacing w:val="1"/>
        <w:jc w:val="center"/>
        <w:rPr>
          <w:b w:val="1"/>
        </w:rPr>
      </w:pPr>
      <w:r>
        <w:rPr>
          <w:b w:val="1"/>
        </w:rPr>
        <w:t>12. Порядок проведения аукциона и определения победителя</w:t>
      </w:r>
    </w:p>
    <w:p w14:paraId="2A010000">
      <w:pPr>
        <w:widowControl w:val="1"/>
        <w:spacing w:line="276" w:lineRule="auto"/>
        <w:ind w:firstLine="851"/>
        <w:contextualSpacing w:val="1"/>
        <w:jc w:val="center"/>
        <w:rPr>
          <w:b w:val="1"/>
        </w:rPr>
      </w:pPr>
    </w:p>
    <w:p w14:paraId="2B010000">
      <w:pPr>
        <w:widowControl w:val="1"/>
        <w:ind w:firstLine="709"/>
        <w:jc w:val="both"/>
      </w:pPr>
      <w: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2C010000">
      <w:pPr>
        <w:widowControl w:val="1"/>
        <w:ind w:firstLine="709"/>
        <w:jc w:val="both"/>
      </w:pPr>
      <w: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14:paraId="2D010000">
      <w:pPr>
        <w:widowControl w:val="1"/>
        <w:ind w:firstLine="709"/>
        <w:jc w:val="both"/>
      </w:pPr>
      <w:r>
        <w:t>12.2.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14:paraId="2E010000">
      <w:pPr>
        <w:widowControl w:val="1"/>
        <w:ind w:firstLine="709"/>
        <w:jc w:val="both"/>
      </w:pPr>
      <w:r>
        <w:t>12.3. Со времени начала проведения процедуры аукциона Оператором электронной площадки размещается:</w:t>
      </w:r>
    </w:p>
    <w:p w14:paraId="2F010000">
      <w:pPr>
        <w:widowControl w:val="1"/>
        <w:ind w:firstLine="709"/>
        <w:jc w:val="both"/>
      </w:pPr>
      <w: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30010000">
      <w:pPr>
        <w:widowControl w:val="1"/>
        <w:ind w:firstLine="709"/>
        <w:jc w:val="both"/>
      </w:pPr>
      <w: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31010000">
      <w:pPr>
        <w:widowControl w:val="1"/>
        <w:ind w:firstLine="709"/>
        <w:jc w:val="both"/>
      </w:pPr>
      <w:r>
        <w:t>12.4.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2010000">
      <w:pPr>
        <w:widowControl w:val="1"/>
        <w:ind w:firstLine="709"/>
        <w:jc w:val="both"/>
      </w:pPr>
      <w: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3010000">
      <w:pPr>
        <w:widowControl w:val="1"/>
        <w:ind w:firstLine="709"/>
        <w:jc w:val="both"/>
      </w:pPr>
      <w: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4010000">
      <w:pPr>
        <w:widowControl w:val="1"/>
        <w:ind w:firstLine="709"/>
        <w:jc w:val="both"/>
      </w:pPr>
      <w:r>
        <w:t>12.5. При этом программными средствами электронной площадки обеспечивается:</w:t>
      </w:r>
    </w:p>
    <w:p w14:paraId="35010000">
      <w:pPr>
        <w:widowControl w:val="1"/>
        <w:ind w:firstLine="709"/>
        <w:jc w:val="both"/>
      </w:pPr>
      <w: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6010000">
      <w:pPr>
        <w:widowControl w:val="1"/>
        <w:ind w:firstLine="709"/>
        <w:jc w:val="both"/>
      </w:pPr>
      <w: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7010000">
      <w:pPr>
        <w:widowControl w:val="1"/>
        <w:ind w:firstLine="709"/>
        <w:jc w:val="both"/>
      </w:pPr>
      <w:r>
        <w:t>12.6. Победителем признается участник, предложивший наиболее высокую цену имущества.</w:t>
      </w:r>
    </w:p>
    <w:p w14:paraId="38010000">
      <w:pPr>
        <w:widowControl w:val="1"/>
        <w:ind w:firstLine="709"/>
        <w:jc w:val="both"/>
      </w:pPr>
      <w:r>
        <w:t>12.7.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9010000">
      <w:pPr>
        <w:widowControl w:val="1"/>
        <w:ind w:firstLine="709"/>
        <w:jc w:val="both"/>
      </w:pPr>
      <w:r>
        <w:t>12.8. 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3A010000">
      <w:pPr>
        <w:widowControl w:val="1"/>
        <w:ind w:firstLine="709"/>
        <w:jc w:val="both"/>
      </w:pPr>
      <w:r>
        <w:t>12.9. Процедура аукциона считается завершенной со времени подписания продавцом протокола об итогах аукциона.</w:t>
      </w:r>
    </w:p>
    <w:p w14:paraId="3B010000">
      <w:pPr>
        <w:widowControl w:val="1"/>
        <w:ind w:firstLine="709"/>
        <w:jc w:val="both"/>
      </w:pPr>
      <w:r>
        <w:t>12.10. Аукцион признается несостоявшимся в следующих случаях:</w:t>
      </w:r>
    </w:p>
    <w:p w14:paraId="3C010000">
      <w:pPr>
        <w:widowControl w:val="1"/>
        <w:ind w:firstLine="709"/>
        <w:jc w:val="both"/>
      </w:pPr>
      <w:r>
        <w:t>а) не было подано ни одной заявки на участие либо ни один из претендентов не признан участником;</w:t>
      </w:r>
    </w:p>
    <w:p w14:paraId="3D010000">
      <w:pPr>
        <w:widowControl w:val="1"/>
        <w:ind w:firstLine="709"/>
        <w:jc w:val="both"/>
      </w:pPr>
      <w:r>
        <w:t>б) отказа лица, признанного единственным участником аукциона, от заключения договора;</w:t>
      </w:r>
    </w:p>
    <w:p w14:paraId="3E010000">
      <w:pPr>
        <w:widowControl w:val="1"/>
        <w:ind w:firstLine="709"/>
        <w:jc w:val="both"/>
      </w:pPr>
      <w:r>
        <w:t>в) ни один из участников не сделал предложение о начальной цене имущества;</w:t>
      </w:r>
    </w:p>
    <w:p w14:paraId="3F010000">
      <w:pPr>
        <w:widowControl w:val="1"/>
        <w:ind w:firstLine="540"/>
        <w:jc w:val="both"/>
      </w:pPr>
      <w:r>
        <w:t xml:space="preserve">   г) в иных случаях, указанных в </w:t>
      </w:r>
      <w:r>
        <w:rPr>
          <w:u w:color="000000"/>
        </w:rPr>
        <w:fldChar w:fldCharType="begin"/>
      </w:r>
      <w:r>
        <w:rPr>
          <w:u w:color="000000"/>
        </w:rPr>
        <w:instrText>HYPERLINK "https://login.consultant.ru/link/?req=doc&amp;base=LAW&amp;n=523349&amp;dst=1259&amp;field=134&amp;date=23.07.2026"</w:instrText>
      </w:r>
      <w:r>
        <w:rPr>
          <w:u w:color="000000"/>
        </w:rPr>
        <w:fldChar w:fldCharType="separate"/>
      </w:r>
      <w:r>
        <w:rPr>
          <w:u w:color="000000"/>
        </w:rPr>
        <w:t>части 17 статьи 17.3</w:t>
      </w:r>
      <w:r>
        <w:rPr>
          <w:u w:color="000000"/>
        </w:rPr>
        <w:fldChar w:fldCharType="end"/>
      </w:r>
      <w:r>
        <w:t xml:space="preserve"> Федерального закона «О защите конкуренции».</w:t>
      </w:r>
    </w:p>
    <w:p w14:paraId="40010000">
      <w:pPr>
        <w:widowControl w:val="1"/>
        <w:ind w:firstLine="540"/>
        <w:jc w:val="both"/>
      </w:pPr>
      <w:r>
        <w:t xml:space="preserve">   12.11. Решение о признании аукциона несостоявшимся оформляется протоколом.</w:t>
      </w:r>
    </w:p>
    <w:p w14:paraId="41010000">
      <w:pPr>
        <w:widowControl w:val="1"/>
        <w:ind w:firstLine="709"/>
        <w:jc w:val="both"/>
      </w:pPr>
      <w: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42010000">
      <w:pPr>
        <w:widowControl w:val="1"/>
        <w:ind w:firstLine="709"/>
        <w:jc w:val="both"/>
      </w:pPr>
      <w:r>
        <w:t>а) наименование имущества и иные позволяющие его индивидуализировать сведения (спецификация лота);</w:t>
      </w:r>
    </w:p>
    <w:p w14:paraId="43010000">
      <w:pPr>
        <w:widowControl w:val="1"/>
        <w:ind w:firstLine="709"/>
        <w:jc w:val="both"/>
      </w:pPr>
      <w:r>
        <w:t>б) цена сделки;</w:t>
      </w:r>
    </w:p>
    <w:p w14:paraId="44010000">
      <w:pPr>
        <w:widowControl w:val="1"/>
        <w:ind w:firstLine="709"/>
        <w:jc w:val="both"/>
      </w:pPr>
      <w: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14:paraId="45010000">
      <w:pPr>
        <w:widowControl w:val="1"/>
        <w:ind w:firstLine="709"/>
        <w:jc w:val="both"/>
      </w:pPr>
    </w:p>
    <w:p w14:paraId="46010000">
      <w:pPr>
        <w:widowControl w:val="1"/>
        <w:tabs>
          <w:tab w:leader="none" w:pos="0" w:val="left"/>
        </w:tabs>
        <w:ind w:firstLine="851"/>
        <w:jc w:val="center"/>
        <w:rPr>
          <w:b w:val="1"/>
        </w:rPr>
      </w:pPr>
      <w:r>
        <w:rPr>
          <w:b w:val="1"/>
        </w:rPr>
        <w:t>13. Срок заключения договора купли продажи имущества</w:t>
      </w:r>
    </w:p>
    <w:p w14:paraId="47010000">
      <w:pPr>
        <w:widowControl w:val="1"/>
        <w:tabs>
          <w:tab w:leader="none" w:pos="0" w:val="left"/>
        </w:tabs>
        <w:ind w:firstLine="851"/>
        <w:jc w:val="center"/>
        <w:rPr>
          <w:b w:val="1"/>
        </w:rPr>
      </w:pPr>
    </w:p>
    <w:p w14:paraId="48010000">
      <w:pPr>
        <w:widowControl w:val="1"/>
        <w:tabs>
          <w:tab w:leader="none" w:pos="284" w:val="left"/>
        </w:tabs>
        <w:ind w:firstLine="709"/>
        <w:jc w:val="both"/>
      </w:pPr>
      <w:r>
        <w:t xml:space="preserve">13.1. 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не ранее чем через 10 дней и не позднее 20 дней со дня размещения на официальном сайте в сети «Интернет» протокола об итогах аукциона. </w:t>
      </w:r>
    </w:p>
    <w:p w14:paraId="49010000">
      <w:pPr>
        <w:widowControl w:val="1"/>
        <w:ind w:firstLine="709"/>
        <w:jc w:val="both"/>
        <w:rPr>
          <w:b w:val="1"/>
        </w:rPr>
      </w:pPr>
      <w:r>
        <w:t xml:space="preserve">13.2.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4A010000">
      <w:pPr>
        <w:widowControl w:val="1"/>
        <w:ind w:firstLine="709"/>
        <w:jc w:val="both"/>
        <w:rPr>
          <w:b w:val="1"/>
        </w:rPr>
      </w:pPr>
      <w:r>
        <w:t xml:space="preserve">13.3. При уклонении или отказе лица, признанного единственным участником аукциона, от заключения в установленный срок договора купли-продажи имущества аукцион признается несостоявшимся, указанное лицо утрачивает право на заключение указанного договора, задаток ему не возвращается. </w:t>
      </w:r>
    </w:p>
    <w:p w14:paraId="4B010000">
      <w:pPr>
        <w:widowControl w:val="1"/>
        <w:ind w:firstLine="709"/>
        <w:jc w:val="both"/>
        <w:rPr>
          <w:b w:val="1"/>
        </w:rPr>
      </w:pPr>
      <w:r>
        <w:t xml:space="preserve">13.4. Оплата приобретаемого имущества производится путем перечисления денежных средств на счет, указанный в договоре купли-продажи. </w:t>
      </w:r>
    </w:p>
    <w:p w14:paraId="4C010000">
      <w:pPr>
        <w:widowControl w:val="1"/>
        <w:ind w:firstLine="709"/>
        <w:jc w:val="both"/>
        <w:rPr>
          <w:b w:val="1"/>
        </w:rPr>
      </w:pPr>
      <w: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4D010000">
      <w:pPr>
        <w:widowControl w:val="1"/>
        <w:ind w:firstLine="709"/>
        <w:jc w:val="both"/>
        <w:rPr>
          <w:b w:val="1"/>
        </w:rPr>
      </w:pPr>
      <w:r>
        <w:t xml:space="preserve">13.5.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4E010000">
      <w:pPr>
        <w:widowControl w:val="1"/>
        <w:ind w:firstLine="709"/>
        <w:jc w:val="both"/>
        <w:rPr>
          <w:b w:val="1"/>
        </w:rPr>
      </w:pPr>
      <w:r>
        <w:t xml:space="preserve">13.6. Факт оплаты имущества подтверждается выпиской со счета о поступлении средств в размере и сроки, указанные в договоре купли-продажи. </w:t>
      </w:r>
    </w:p>
    <w:p w14:paraId="4F010000">
      <w:pPr>
        <w:widowControl w:val="1"/>
        <w:ind w:firstLine="709"/>
        <w:jc w:val="both"/>
        <w:rPr>
          <w:b w:val="1"/>
        </w:rPr>
      </w:pPr>
      <w:r>
        <w:t xml:space="preserve">13.7.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на добавленную стоимость. При этом налоговая база определяется отдельно при совершении каждой </w:t>
      </w:r>
      <w:r>
        <w:t>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50010000">
      <w:pPr>
        <w:widowControl w:val="1"/>
        <w:spacing w:after="160" w:line="264" w:lineRule="auto"/>
        <w:ind/>
        <w:jc w:val="center"/>
        <w:rPr>
          <w:b w:val="1"/>
        </w:rPr>
      </w:pPr>
    </w:p>
    <w:p w14:paraId="51010000">
      <w:pPr>
        <w:widowControl w:val="1"/>
        <w:spacing w:after="160" w:line="264" w:lineRule="auto"/>
        <w:ind/>
        <w:jc w:val="center"/>
        <w:rPr>
          <w:b w:val="1"/>
        </w:rPr>
      </w:pPr>
      <w:r>
        <w:rPr>
          <w:b w:val="1"/>
        </w:rPr>
        <w:t>14. Переход права собственности на федеральное имущество</w:t>
      </w:r>
    </w:p>
    <w:p w14:paraId="52010000">
      <w:pPr>
        <w:widowControl w:val="1"/>
        <w:ind w:firstLine="709"/>
        <w:jc w:val="both"/>
      </w:pPr>
      <w:r>
        <w:t>14.1.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53010000">
      <w:pPr>
        <w:widowControl w:val="1"/>
        <w:ind w:firstLine="709"/>
        <w:jc w:val="both"/>
      </w:pPr>
      <w:r>
        <w:t>Передача имущества осуществляется по передаточному акту, подписываемому Покупателем и Продавцом, после заключения договора купли-продажи и полной оплаты приобретенного по договору купли-продажи имущества. Имущество считается переданным Покупателю со дня подписания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54010000">
      <w:pPr>
        <w:widowControl w:val="1"/>
        <w:ind w:firstLine="709"/>
        <w:jc w:val="both"/>
      </w:pPr>
      <w:r>
        <w:t>14.2. 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55010000">
      <w:pPr>
        <w:widowControl w:val="1"/>
        <w:ind w:firstLine="709"/>
        <w:jc w:val="both"/>
      </w:pPr>
      <w:r>
        <w:t xml:space="preserve">14.3. </w:t>
      </w:r>
      <w:r>
        <w:rPr>
          <w:sz w:val="24"/>
        </w:rPr>
        <w:t xml:space="preserve">Расходы, связанные </w:t>
      </w:r>
      <w:r>
        <w:rPr>
          <w:sz w:val="24"/>
        </w:rPr>
        <w:t xml:space="preserve">с оформлением Имущества (в том числе оплата государственной пошлины при регистрации перехода права собственности)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56010000">
      <w:pPr>
        <w:widowControl w:val="1"/>
        <w:ind/>
        <w:jc w:val="center"/>
        <w:rPr>
          <w:b w:val="1"/>
        </w:rPr>
      </w:pPr>
      <w:r>
        <w:rPr>
          <w:b w:val="1"/>
        </w:rPr>
        <w:t>15. Заключительные положения</w:t>
      </w:r>
    </w:p>
    <w:p w14:paraId="57010000">
      <w:pPr>
        <w:widowControl w:val="1"/>
        <w:ind/>
        <w:jc w:val="center"/>
        <w:rPr>
          <w:b w:val="1"/>
        </w:rPr>
      </w:pPr>
    </w:p>
    <w:p w14:paraId="58010000">
      <w:pPr>
        <w:widowControl w:val="1"/>
        <w:ind w:firstLine="851"/>
        <w:jc w:val="both"/>
      </w:pPr>
      <w:r>
        <w:t>15.1. 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1"/>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1"/>
      <w:ind/>
      <w:jc w:val="center"/>
    </w:pPr>
    <w:r>
      <w:rPr>
        <w:sz w:val="24"/>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1"/>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Знак сноски1"/>
    <w:link w:val="Style_10_ch"/>
    <w:rPr>
      <w:vertAlign w:val="superscript"/>
    </w:rPr>
  </w:style>
  <w:style w:styleId="Style_10_ch" w:type="character">
    <w:name w:val="Знак сноски1"/>
    <w:link w:val="Style_10"/>
    <w:rPr>
      <w:vertAlign w:val="superscript"/>
    </w:rPr>
  </w:style>
  <w:style w:styleId="Style_11" w:type="paragraph">
    <w:name w:val="toc 2"/>
    <w:next w:val="Style_2"/>
    <w:link w:val="Style_11_ch"/>
    <w:uiPriority w:val="39"/>
    <w:pPr>
      <w:widowControl w:val="1"/>
      <w:ind w:left="200"/>
    </w:pPr>
    <w:rPr>
      <w:rFonts w:ascii="XO Thames" w:hAnsi="XO Thames"/>
      <w:sz w:val="28"/>
    </w:rPr>
  </w:style>
  <w:style w:styleId="Style_11_ch" w:type="character">
    <w:name w:val="toc 2"/>
    <w:link w:val="Style_11"/>
    <w:rPr>
      <w:rFonts w:ascii="XO Thames" w:hAnsi="XO Thames"/>
      <w:sz w:val="28"/>
    </w:rPr>
  </w:style>
  <w:style w:styleId="Style_12" w:type="paragraph">
    <w:name w:val="Body Text Indent"/>
    <w:basedOn w:val="Style_2"/>
    <w:link w:val="Style_12_ch"/>
    <w:pPr>
      <w:widowControl w:val="1"/>
      <w:spacing w:after="120"/>
      <w:ind w:left="283"/>
    </w:pPr>
    <w:rPr>
      <w:sz w:val="20"/>
    </w:rPr>
  </w:style>
  <w:style w:styleId="Style_12_ch" w:type="character">
    <w:name w:val="Body Text Indent"/>
    <w:basedOn w:val="Style_2_ch"/>
    <w:link w:val="Style_12"/>
    <w:rPr>
      <w:sz w:val="20"/>
    </w:rPr>
  </w:style>
  <w:style w:styleId="Style_13" w:type="paragraph">
    <w:name w:val="toc 4"/>
    <w:next w:val="Style_2"/>
    <w:link w:val="Style_13_ch"/>
    <w:uiPriority w:val="39"/>
    <w:pPr>
      <w:widowControl w:val="1"/>
      <w:ind w:left="600"/>
    </w:pPr>
    <w:rPr>
      <w:rFonts w:ascii="XO Thames" w:hAnsi="XO Thames"/>
      <w:sz w:val="28"/>
    </w:rPr>
  </w:style>
  <w:style w:styleId="Style_13_ch" w:type="character">
    <w:name w:val="toc 4"/>
    <w:link w:val="Style_13"/>
    <w:rPr>
      <w:rFonts w:ascii="XO Thames" w:hAnsi="XO Thames"/>
      <w:sz w:val="28"/>
    </w:rPr>
  </w:style>
  <w:style w:styleId="Style_1" w:type="paragraph">
    <w:name w:val="header"/>
    <w:basedOn w:val="Style_2"/>
    <w:link w:val="Style_1_ch"/>
    <w:pPr>
      <w:widowControl w:val="1"/>
      <w:tabs>
        <w:tab w:leader="none" w:pos="4677" w:val="center"/>
        <w:tab w:leader="none" w:pos="9355" w:val="right"/>
      </w:tabs>
      <w:ind/>
    </w:pPr>
    <w:rPr>
      <w:sz w:val="20"/>
    </w:rPr>
  </w:style>
  <w:style w:styleId="Style_1_ch" w:type="character">
    <w:name w:val="header"/>
    <w:basedOn w:val="Style_2_ch"/>
    <w:link w:val="Style_1"/>
    <w:rPr>
      <w:sz w:val="20"/>
    </w:rPr>
  </w:style>
  <w:style w:styleId="Style_14" w:type="paragraph">
    <w:name w:val="toc 6"/>
    <w:next w:val="Style_2"/>
    <w:link w:val="Style_14_ch"/>
    <w:uiPriority w:val="39"/>
    <w:pPr>
      <w:widowControl w:val="1"/>
      <w:ind w:left="1000"/>
    </w:pPr>
    <w:rPr>
      <w:rFonts w:ascii="XO Thames" w:hAnsi="XO Thames"/>
      <w:sz w:val="28"/>
    </w:rPr>
  </w:style>
  <w:style w:styleId="Style_14_ch" w:type="character">
    <w:name w:val="toc 6"/>
    <w:link w:val="Style_14"/>
    <w:rPr>
      <w:rFonts w:ascii="XO Thames" w:hAnsi="XO Thames"/>
      <w:sz w:val="28"/>
    </w:rPr>
  </w:style>
  <w:style w:styleId="Style_15" w:type="paragraph">
    <w:name w:val="Заголовок 3 Знак3"/>
    <w:link w:val="Style_15_ch"/>
    <w:rPr>
      <w:rFonts w:ascii="Arial Narrow" w:hAnsi="Arial Narrow"/>
      <w:b w:val="1"/>
      <w:i w:val="1"/>
    </w:rPr>
  </w:style>
  <w:style w:styleId="Style_15_ch" w:type="character">
    <w:name w:val="Заголовок 3 Знак3"/>
    <w:link w:val="Style_15"/>
    <w:rPr>
      <w:rFonts w:ascii="Arial Narrow" w:hAnsi="Arial Narrow"/>
      <w:b w:val="1"/>
      <w:i w:val="1"/>
    </w:rPr>
  </w:style>
  <w:style w:styleId="Style_16" w:type="paragraph">
    <w:name w:val="toc 7"/>
    <w:next w:val="Style_2"/>
    <w:link w:val="Style_16_ch"/>
    <w:uiPriority w:val="39"/>
    <w:pPr>
      <w:widowControl w:val="1"/>
      <w:ind w:left="1200"/>
    </w:pPr>
    <w:rPr>
      <w:rFonts w:ascii="XO Thames" w:hAnsi="XO Thames"/>
      <w:sz w:val="28"/>
    </w:rPr>
  </w:style>
  <w:style w:styleId="Style_16_ch" w:type="character">
    <w:name w:val="toc 7"/>
    <w:link w:val="Style_16"/>
    <w:rPr>
      <w:rFonts w:ascii="XO Thames" w:hAnsi="XO Thames"/>
      <w:sz w:val="28"/>
    </w:rPr>
  </w:style>
  <w:style w:styleId="Style_17" w:type="paragraph">
    <w:name w:val="ConsPlusCell"/>
    <w:link w:val="Style_17_ch"/>
    <w:pPr>
      <w:widowControl w:val="1"/>
      <w:spacing w:after="0" w:line="240" w:lineRule="auto"/>
      <w:ind/>
    </w:pPr>
    <w:rPr>
      <w:rFonts w:ascii="Times New Roman" w:hAnsi="Times New Roman"/>
      <w:sz w:val="40"/>
    </w:rPr>
  </w:style>
  <w:style w:styleId="Style_17_ch" w:type="character">
    <w:name w:val="ConsPlusCell"/>
    <w:link w:val="Style_17"/>
    <w:rPr>
      <w:rFonts w:ascii="Times New Roman" w:hAnsi="Times New Roman"/>
      <w:sz w:val="40"/>
    </w:rPr>
  </w:style>
  <w:style w:styleId="Style_18" w:type="paragraph">
    <w:name w:val="Обычный1"/>
    <w:link w:val="Style_18_ch"/>
    <w:pPr>
      <w:widowControl w:val="1"/>
      <w:spacing w:after="0" w:line="300" w:lineRule="auto"/>
      <w:ind w:firstLine="560"/>
    </w:pPr>
    <w:rPr>
      <w:rFonts w:ascii="Times New Roman" w:hAnsi="Times New Roman"/>
    </w:rPr>
  </w:style>
  <w:style w:styleId="Style_18_ch" w:type="character">
    <w:name w:val="Обычный1"/>
    <w:link w:val="Style_18"/>
    <w:rPr>
      <w:rFonts w:ascii="Times New Roman" w:hAnsi="Times New Roman"/>
    </w:rPr>
  </w:style>
  <w:style w:styleId="Style_7" w:type="paragraph">
    <w:name w:val="Body Text 2"/>
    <w:basedOn w:val="Style_2"/>
    <w:link w:val="Style_7_ch"/>
    <w:pPr>
      <w:widowControl w:val="1"/>
      <w:tabs>
        <w:tab w:leader="none" w:pos="284" w:val="left"/>
      </w:tabs>
      <w:ind w:hanging="284" w:left="284"/>
      <w:jc w:val="both"/>
    </w:pPr>
  </w:style>
  <w:style w:styleId="Style_7_ch" w:type="character">
    <w:name w:val="Body Text 2"/>
    <w:basedOn w:val="Style_2_ch"/>
    <w:link w:val="Style_7"/>
  </w:style>
  <w:style w:styleId="Style_19" w:type="paragraph">
    <w:name w:val="Endnote"/>
    <w:link w:val="Style_19_ch"/>
    <w:pPr>
      <w:widowControl w:val="1"/>
      <w:ind w:firstLine="851"/>
      <w:jc w:val="both"/>
    </w:pPr>
    <w:rPr>
      <w:rFonts w:ascii="XO Thames" w:hAnsi="XO Thames"/>
    </w:rPr>
  </w:style>
  <w:style w:styleId="Style_19_ch" w:type="character">
    <w:name w:val="Endnote"/>
    <w:link w:val="Style_19"/>
    <w:rPr>
      <w:rFonts w:ascii="XO Thames" w:hAnsi="XO Thames"/>
    </w:rPr>
  </w:style>
  <w:style w:styleId="Style_20" w:type="paragraph">
    <w:name w:val="heading 3"/>
    <w:basedOn w:val="Style_2"/>
    <w:next w:val="Style_2"/>
    <w:link w:val="Style_20_ch"/>
    <w:uiPriority w:val="9"/>
    <w:qFormat/>
    <w:pPr>
      <w:keepNext w:val="1"/>
      <w:keepLines w:val="1"/>
      <w:widowControl w:val="1"/>
      <w:spacing w:before="200"/>
      <w:ind/>
      <w:outlineLvl w:val="2"/>
    </w:pPr>
    <w:rPr>
      <w:rFonts w:asciiTheme="majorAscii" w:hAnsiTheme="majorHAnsi"/>
      <w:b w:val="1"/>
      <w:color w:themeColor="accent1" w:val="5B9BD5"/>
    </w:rPr>
  </w:style>
  <w:style w:styleId="Style_20_ch" w:type="character">
    <w:name w:val="heading 3"/>
    <w:basedOn w:val="Style_2_ch"/>
    <w:link w:val="Style_20"/>
    <w:rPr>
      <w:rFonts w:asciiTheme="majorAscii" w:hAnsiTheme="majorHAnsi"/>
      <w:b w:val="1"/>
      <w:color w:themeColor="accent1" w:val="5B9BD5"/>
    </w:rPr>
  </w:style>
  <w:style w:styleId="Style_21" w:type="paragraph">
    <w:name w:val="Balloon Text"/>
    <w:basedOn w:val="Style_2"/>
    <w:link w:val="Style_21_ch"/>
    <w:rPr>
      <w:rFonts w:ascii="Tahoma" w:hAnsi="Tahoma"/>
      <w:sz w:val="16"/>
    </w:rPr>
  </w:style>
  <w:style w:styleId="Style_21_ch" w:type="character">
    <w:name w:val="Balloon Text"/>
    <w:basedOn w:val="Style_2_ch"/>
    <w:link w:val="Style_21"/>
    <w:rPr>
      <w:rFonts w:ascii="Tahoma" w:hAnsi="Tahoma"/>
      <w:sz w:val="16"/>
    </w:rPr>
  </w:style>
  <w:style w:styleId="Style_22" w:type="paragraph">
    <w:name w:val="Знак примечания1"/>
    <w:basedOn w:val="Style_23"/>
    <w:link w:val="Style_22_ch"/>
    <w:rPr>
      <w:sz w:val="16"/>
    </w:rPr>
  </w:style>
  <w:style w:styleId="Style_22_ch" w:type="character">
    <w:name w:val="Знак примечания1"/>
    <w:basedOn w:val="Style_23_ch"/>
    <w:link w:val="Style_22"/>
    <w:rPr>
      <w:sz w:val="16"/>
    </w:rPr>
  </w:style>
  <w:style w:styleId="Style_24" w:type="paragraph">
    <w:name w:val="Font Style11"/>
    <w:basedOn w:val="Style_23"/>
    <w:link w:val="Style_24_ch"/>
    <w:rPr>
      <w:rFonts w:ascii="Times New Roman" w:hAnsi="Times New Roman"/>
      <w:b w:val="1"/>
      <w:sz w:val="20"/>
    </w:rPr>
  </w:style>
  <w:style w:styleId="Style_24_ch" w:type="character">
    <w:name w:val="Font Style11"/>
    <w:basedOn w:val="Style_23_ch"/>
    <w:link w:val="Style_24"/>
    <w:rPr>
      <w:rFonts w:ascii="Times New Roman" w:hAnsi="Times New Roman"/>
      <w:b w:val="1"/>
      <w:sz w:val="20"/>
    </w:rPr>
  </w:style>
  <w:style w:styleId="Style_25" w:type="paragraph">
    <w:name w:val="Style1"/>
    <w:basedOn w:val="Style_2"/>
    <w:link w:val="Style_25_ch"/>
    <w:pPr>
      <w:widowControl w:val="1"/>
      <w:spacing w:line="274" w:lineRule="exact"/>
      <w:ind w:firstLine="547"/>
      <w:jc w:val="both"/>
    </w:pPr>
    <w:rPr>
      <w:rFonts w:ascii="Calibri" w:hAnsi="Calibri"/>
    </w:rPr>
  </w:style>
  <w:style w:styleId="Style_25_ch" w:type="character">
    <w:name w:val="Style1"/>
    <w:basedOn w:val="Style_2_ch"/>
    <w:link w:val="Style_25"/>
    <w:rPr>
      <w:rFonts w:ascii="Calibri" w:hAnsi="Calibri"/>
    </w:rPr>
  </w:style>
  <w:style w:styleId="Style_26" w:type="paragraph">
    <w:name w:val="Body Text Indent 3"/>
    <w:basedOn w:val="Style_2"/>
    <w:link w:val="Style_26_ch"/>
    <w:pPr>
      <w:widowControl w:val="1"/>
      <w:spacing w:after="120"/>
      <w:ind w:firstLine="720"/>
      <w:jc w:val="both"/>
    </w:pPr>
    <w:rPr>
      <w:b w:val="1"/>
      <w:sz w:val="28"/>
    </w:rPr>
  </w:style>
  <w:style w:styleId="Style_26_ch" w:type="character">
    <w:name w:val="Body Text Indent 3"/>
    <w:basedOn w:val="Style_2_ch"/>
    <w:link w:val="Style_26"/>
    <w:rPr>
      <w:b w:val="1"/>
      <w:sz w:val="28"/>
    </w:rPr>
  </w:style>
  <w:style w:styleId="Style_27"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7_ch"/>
    <w:pPr>
      <w:widowControl w:val="1"/>
      <w:spacing w:after="160" w:line="240" w:lineRule="exact"/>
      <w:ind/>
    </w:pPr>
    <w:rPr>
      <w:rFonts w:ascii="Verdana" w:hAnsi="Verdana"/>
      <w:sz w:val="20"/>
    </w:rPr>
  </w:style>
  <w:style w:styleId="Style_27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7"/>
    <w:rPr>
      <w:rFonts w:ascii="Verdana" w:hAnsi="Verdana"/>
      <w:sz w:val="20"/>
    </w:rPr>
  </w:style>
  <w:style w:styleId="Style_28" w:type="paragraph">
    <w:name w:val="footer"/>
    <w:basedOn w:val="Style_2"/>
    <w:link w:val="Style_28_ch"/>
    <w:pPr>
      <w:widowControl w:val="1"/>
      <w:tabs>
        <w:tab w:leader="none" w:pos="4677" w:val="center"/>
        <w:tab w:leader="none" w:pos="9355" w:val="right"/>
      </w:tabs>
      <w:ind/>
    </w:pPr>
    <w:rPr>
      <w:rFonts w:asciiTheme="minorAscii" w:hAnsiTheme="minorHAnsi"/>
      <w:sz w:val="22"/>
    </w:rPr>
  </w:style>
  <w:style w:styleId="Style_28_ch" w:type="character">
    <w:name w:val="footer"/>
    <w:basedOn w:val="Style_2_ch"/>
    <w:link w:val="Style_28"/>
    <w:rPr>
      <w:rFonts w:asciiTheme="minorAscii" w:hAnsiTheme="minorHAnsi"/>
      <w:sz w:val="22"/>
    </w:rPr>
  </w:style>
  <w:style w:styleId="Style_29" w:type="paragraph">
    <w:name w:val="TextBoldCenter"/>
    <w:basedOn w:val="Style_2"/>
    <w:link w:val="Style_29_ch"/>
    <w:pPr>
      <w:widowControl w:val="1"/>
      <w:spacing w:before="283"/>
      <w:ind/>
      <w:jc w:val="center"/>
    </w:pPr>
    <w:rPr>
      <w:b w:val="1"/>
      <w:sz w:val="26"/>
    </w:rPr>
  </w:style>
  <w:style w:styleId="Style_29_ch" w:type="character">
    <w:name w:val="TextBoldCenter"/>
    <w:basedOn w:val="Style_2_ch"/>
    <w:link w:val="Style_29"/>
    <w:rPr>
      <w:b w:val="1"/>
      <w:sz w:val="26"/>
    </w:rPr>
  </w:style>
  <w:style w:styleId="Style_30" w:type="paragraph">
    <w:name w:val="Style5"/>
    <w:basedOn w:val="Style_2"/>
    <w:link w:val="Style_30_ch"/>
    <w:pPr>
      <w:widowControl w:val="1"/>
      <w:spacing w:line="290" w:lineRule="exact"/>
      <w:ind w:firstLine="168"/>
      <w:jc w:val="both"/>
    </w:pPr>
    <w:rPr>
      <w:rFonts w:ascii="Calibri" w:hAnsi="Calibri"/>
    </w:rPr>
  </w:style>
  <w:style w:styleId="Style_30_ch" w:type="character">
    <w:name w:val="Style5"/>
    <w:basedOn w:val="Style_2_ch"/>
    <w:link w:val="Style_30"/>
    <w:rPr>
      <w:rFonts w:ascii="Calibri" w:hAnsi="Calibri"/>
    </w:rPr>
  </w:style>
  <w:style w:styleId="Style_31" w:type="paragraph">
    <w:name w:val="toc 3"/>
    <w:next w:val="Style_2"/>
    <w:link w:val="Style_31_ch"/>
    <w:uiPriority w:val="39"/>
    <w:pPr>
      <w:widowControl w:val="1"/>
      <w:ind w:left="400"/>
    </w:pPr>
    <w:rPr>
      <w:rFonts w:ascii="XO Thames" w:hAnsi="XO Thames"/>
      <w:sz w:val="28"/>
    </w:rPr>
  </w:style>
  <w:style w:styleId="Style_31_ch" w:type="character">
    <w:name w:val="toc 3"/>
    <w:link w:val="Style_31"/>
    <w:rPr>
      <w:rFonts w:ascii="XO Thames" w:hAnsi="XO Thames"/>
      <w:sz w:val="28"/>
    </w:rPr>
  </w:style>
  <w:style w:styleId="Style_32" w:type="paragraph">
    <w:name w:val="Обычный1"/>
    <w:link w:val="Style_32_ch"/>
    <w:rPr>
      <w:rFonts w:ascii="Times New Roman" w:hAnsi="Times New Roman"/>
      <w:sz w:val="24"/>
    </w:rPr>
  </w:style>
  <w:style w:styleId="Style_32_ch" w:type="character">
    <w:name w:val="Обычный1"/>
    <w:link w:val="Style_32"/>
    <w:rPr>
      <w:rFonts w:ascii="Times New Roman" w:hAnsi="Times New Roman"/>
      <w:sz w:val="24"/>
    </w:rPr>
  </w:style>
  <w:style w:styleId="Style_33" w:type="paragraph">
    <w:name w:val="heading 5"/>
    <w:next w:val="Style_2"/>
    <w:link w:val="Style_33_ch"/>
    <w:uiPriority w:val="9"/>
    <w:qFormat/>
    <w:pPr>
      <w:widowControl w:val="1"/>
      <w:spacing w:after="120" w:before="120"/>
      <w:ind/>
      <w:jc w:val="both"/>
      <w:outlineLvl w:val="4"/>
    </w:pPr>
    <w:rPr>
      <w:rFonts w:ascii="XO Thames" w:hAnsi="XO Thames"/>
      <w:b w:val="1"/>
    </w:rPr>
  </w:style>
  <w:style w:styleId="Style_33_ch" w:type="character">
    <w:name w:val="heading 5"/>
    <w:link w:val="Style_33"/>
    <w:rPr>
      <w:rFonts w:ascii="XO Thames" w:hAnsi="XO Thames"/>
      <w:b w:val="1"/>
    </w:rPr>
  </w:style>
  <w:style w:styleId="Style_34" w:type="paragraph">
    <w:name w:val="Body Text 3"/>
    <w:basedOn w:val="Style_2"/>
    <w:link w:val="Style_34_ch"/>
    <w:pPr>
      <w:widowControl w:val="1"/>
      <w:spacing w:line="264" w:lineRule="auto"/>
      <w:ind/>
    </w:pPr>
    <w:rPr>
      <w:sz w:val="28"/>
    </w:rPr>
  </w:style>
  <w:style w:styleId="Style_34_ch" w:type="character">
    <w:name w:val="Body Text 3"/>
    <w:basedOn w:val="Style_2_ch"/>
    <w:link w:val="Style_34"/>
    <w:rPr>
      <w:sz w:val="28"/>
    </w:rPr>
  </w:style>
  <w:style w:styleId="Style_35" w:type="paragraph">
    <w:name w:val="heading 1"/>
    <w:basedOn w:val="Style_2"/>
    <w:next w:val="Style_2"/>
    <w:link w:val="Style_35_ch"/>
    <w:uiPriority w:val="9"/>
    <w:qFormat/>
    <w:pPr>
      <w:keepNext w:val="1"/>
      <w:widowControl w:val="1"/>
      <w:spacing w:after="60" w:before="240"/>
      <w:ind/>
      <w:outlineLvl w:val="0"/>
    </w:pPr>
    <w:rPr>
      <w:rFonts w:ascii="Arial" w:hAnsi="Arial"/>
      <w:b w:val="1"/>
      <w:sz w:val="32"/>
    </w:rPr>
  </w:style>
  <w:style w:styleId="Style_35_ch" w:type="character">
    <w:name w:val="heading 1"/>
    <w:basedOn w:val="Style_2_ch"/>
    <w:link w:val="Style_35"/>
    <w:rPr>
      <w:rFonts w:ascii="Arial" w:hAnsi="Arial"/>
      <w:b w:val="1"/>
      <w:sz w:val="32"/>
    </w:rPr>
  </w:style>
  <w:style w:styleId="Style_36" w:type="paragraph">
    <w:name w:val="Hyperlink"/>
    <w:link w:val="Style_36_ch"/>
    <w:rPr>
      <w:color w:val="0000FF"/>
      <w:u w:val="single"/>
    </w:rPr>
  </w:style>
  <w:style w:styleId="Style_36_ch" w:type="character">
    <w:name w:val="Hyperlink"/>
    <w:link w:val="Style_36"/>
    <w:rPr>
      <w:color w:val="0000FF"/>
      <w:u w:val="single"/>
    </w:rPr>
  </w:style>
  <w:style w:styleId="Style_37" w:type="paragraph">
    <w:name w:val="Footnote"/>
    <w:basedOn w:val="Style_2"/>
    <w:link w:val="Style_37_ch"/>
    <w:rPr>
      <w:sz w:val="20"/>
    </w:rPr>
  </w:style>
  <w:style w:styleId="Style_37_ch" w:type="character">
    <w:name w:val="Footnote"/>
    <w:basedOn w:val="Style_2_ch"/>
    <w:link w:val="Style_37"/>
    <w:rPr>
      <w:sz w:val="20"/>
    </w:rPr>
  </w:style>
  <w:style w:styleId="Style_38" w:type="paragraph">
    <w:name w:val="Знак"/>
    <w:basedOn w:val="Style_2"/>
    <w:link w:val="Style_38_ch"/>
    <w:pPr>
      <w:widowControl w:val="1"/>
      <w:spacing w:after="160" w:line="240" w:lineRule="exact"/>
      <w:ind/>
    </w:pPr>
  </w:style>
  <w:style w:styleId="Style_38_ch" w:type="character">
    <w:name w:val="Знак"/>
    <w:basedOn w:val="Style_2_ch"/>
    <w:link w:val="Style_38"/>
  </w:style>
  <w:style w:styleId="Style_39" w:type="paragraph">
    <w:name w:val="toc 1"/>
    <w:next w:val="Style_2"/>
    <w:link w:val="Style_39_ch"/>
    <w:uiPriority w:val="39"/>
    <w:rPr>
      <w:rFonts w:ascii="XO Thames" w:hAnsi="XO Thames"/>
      <w:b w:val="1"/>
      <w:sz w:val="28"/>
    </w:rPr>
  </w:style>
  <w:style w:styleId="Style_39_ch" w:type="character">
    <w:name w:val="toc 1"/>
    <w:link w:val="Style_39"/>
    <w:rPr>
      <w:rFonts w:ascii="XO Thames" w:hAnsi="XO Thames"/>
      <w:b w:val="1"/>
      <w:sz w:val="28"/>
    </w:rPr>
  </w:style>
  <w:style w:styleId="Style_40" w:type="paragraph">
    <w:name w:val="Header and Footer"/>
    <w:link w:val="Style_40_ch"/>
    <w:pPr>
      <w:widowControl w:val="1"/>
      <w:spacing w:line="240" w:lineRule="auto"/>
      <w:ind/>
      <w:jc w:val="both"/>
    </w:pPr>
    <w:rPr>
      <w:rFonts w:ascii="XO Thames" w:hAnsi="XO Thames"/>
      <w:sz w:val="20"/>
    </w:rPr>
  </w:style>
  <w:style w:styleId="Style_40_ch" w:type="character">
    <w:name w:val="Header and Footer"/>
    <w:link w:val="Style_40"/>
    <w:rPr>
      <w:rFonts w:ascii="XO Thames" w:hAnsi="XO Thames"/>
      <w:sz w:val="20"/>
    </w:rPr>
  </w:style>
  <w:style w:styleId="Style_41" w:type="paragraph">
    <w:name w:val="Font Style13"/>
    <w:basedOn w:val="Style_23"/>
    <w:link w:val="Style_41_ch"/>
    <w:rPr>
      <w:rFonts w:ascii="Times New Roman" w:hAnsi="Times New Roman"/>
    </w:rPr>
  </w:style>
  <w:style w:styleId="Style_41_ch" w:type="character">
    <w:name w:val="Font Style13"/>
    <w:basedOn w:val="Style_23_ch"/>
    <w:link w:val="Style_41"/>
    <w:rPr>
      <w:rFonts w:ascii="Times New Roman" w:hAnsi="Times New Roman"/>
    </w:rPr>
  </w:style>
  <w:style w:styleId="Style_42" w:type="paragraph">
    <w:name w:val="toc 9"/>
    <w:next w:val="Style_2"/>
    <w:link w:val="Style_42_ch"/>
    <w:uiPriority w:val="39"/>
    <w:pPr>
      <w:widowControl w:val="1"/>
      <w:ind w:left="1600"/>
    </w:pPr>
    <w:rPr>
      <w:rFonts w:ascii="XO Thames" w:hAnsi="XO Thames"/>
      <w:sz w:val="28"/>
    </w:rPr>
  </w:style>
  <w:style w:styleId="Style_42_ch" w:type="character">
    <w:name w:val="toc 9"/>
    <w:link w:val="Style_42"/>
    <w:rPr>
      <w:rFonts w:ascii="XO Thames" w:hAnsi="XO Thames"/>
      <w:sz w:val="28"/>
    </w:rPr>
  </w:style>
  <w:style w:styleId="Style_23" w:type="paragraph">
    <w:name w:val="Основной шрифт абзаца1"/>
    <w:link w:val="Style_23_ch"/>
  </w:style>
  <w:style w:styleId="Style_23_ch" w:type="character">
    <w:name w:val="Основной шрифт абзаца1"/>
    <w:link w:val="Style_23"/>
  </w:style>
  <w:style w:styleId="Style_43" w:type="paragraph">
    <w:name w:val="toc 8"/>
    <w:next w:val="Style_2"/>
    <w:link w:val="Style_43_ch"/>
    <w:uiPriority w:val="39"/>
    <w:pPr>
      <w:widowControl w:val="1"/>
      <w:ind w:left="1400"/>
    </w:pPr>
    <w:rPr>
      <w:rFonts w:ascii="XO Thames" w:hAnsi="XO Thames"/>
      <w:sz w:val="28"/>
    </w:rPr>
  </w:style>
  <w:style w:styleId="Style_43_ch" w:type="character">
    <w:name w:val="toc 8"/>
    <w:link w:val="Style_43"/>
    <w:rPr>
      <w:rFonts w:ascii="XO Thames" w:hAnsi="XO Thames"/>
      <w:sz w:val="28"/>
    </w:rPr>
  </w:style>
  <w:style w:styleId="Style_9" w:type="paragraph">
    <w:name w:val="Body Text Indent 2"/>
    <w:basedOn w:val="Style_2"/>
    <w:link w:val="Style_9_ch"/>
    <w:pPr>
      <w:widowControl w:val="1"/>
      <w:ind w:firstLine="720"/>
      <w:jc w:val="both"/>
    </w:pPr>
  </w:style>
  <w:style w:styleId="Style_9_ch" w:type="character">
    <w:name w:val="Body Text Indent 2"/>
    <w:basedOn w:val="Style_2_ch"/>
    <w:link w:val="Style_9"/>
  </w:style>
  <w:style w:styleId="Style_44" w:type="paragraph">
    <w:name w:val="annotation subject"/>
    <w:basedOn w:val="Style_45"/>
    <w:next w:val="Style_45"/>
    <w:link w:val="Style_44_ch"/>
    <w:rPr>
      <w:b w:val="1"/>
    </w:rPr>
  </w:style>
  <w:style w:styleId="Style_44_ch" w:type="character">
    <w:name w:val="annotation subject"/>
    <w:basedOn w:val="Style_45_ch"/>
    <w:link w:val="Style_44"/>
    <w:rPr>
      <w:b w:val="1"/>
    </w:rPr>
  </w:style>
  <w:style w:styleId="Style_45" w:type="paragraph">
    <w:name w:val="annotation text"/>
    <w:basedOn w:val="Style_2"/>
    <w:link w:val="Style_45_ch"/>
    <w:pPr>
      <w:widowControl w:val="1"/>
      <w:spacing w:after="160"/>
      <w:ind/>
    </w:pPr>
    <w:rPr>
      <w:rFonts w:asciiTheme="minorAscii" w:hAnsiTheme="minorHAnsi"/>
      <w:sz w:val="20"/>
    </w:rPr>
  </w:style>
  <w:style w:styleId="Style_45_ch" w:type="character">
    <w:name w:val="annotation text"/>
    <w:basedOn w:val="Style_2_ch"/>
    <w:link w:val="Style_45"/>
    <w:rPr>
      <w:rFonts w:asciiTheme="minorAscii" w:hAnsiTheme="minorHAnsi"/>
      <w:sz w:val="20"/>
    </w:rPr>
  </w:style>
  <w:style w:styleId="Style_46" w:type="paragraph">
    <w:name w:val="toc 5"/>
    <w:next w:val="Style_2"/>
    <w:link w:val="Style_46_ch"/>
    <w:uiPriority w:val="39"/>
    <w:pPr>
      <w:widowControl w:val="1"/>
      <w:ind w:left="800"/>
    </w:pPr>
    <w:rPr>
      <w:rFonts w:ascii="XO Thames" w:hAnsi="XO Thames"/>
      <w:sz w:val="28"/>
    </w:rPr>
  </w:style>
  <w:style w:styleId="Style_46_ch" w:type="character">
    <w:name w:val="toc 5"/>
    <w:link w:val="Style_46"/>
    <w:rPr>
      <w:rFonts w:ascii="XO Thames" w:hAnsi="XO Thames"/>
      <w:sz w:val="28"/>
    </w:rPr>
  </w:style>
  <w:style w:styleId="Style_47" w:type="paragraph">
    <w:name w:val="Просмотренная гиперссылка1"/>
    <w:basedOn w:val="Style_23"/>
    <w:link w:val="Style_47_ch"/>
    <w:rPr>
      <w:color w:themeColor="followedHyperlink" w:val="954F72"/>
      <w:u w:val="single"/>
    </w:rPr>
  </w:style>
  <w:style w:styleId="Style_47_ch" w:type="character">
    <w:name w:val="Просмотренная гиперссылка1"/>
    <w:basedOn w:val="Style_23_ch"/>
    <w:link w:val="Style_47"/>
    <w:rPr>
      <w:color w:themeColor="followedHyperlink" w:val="954F72"/>
      <w:u w:val="single"/>
    </w:rPr>
  </w:style>
  <w:style w:styleId="Style_48" w:type="paragraph">
    <w:name w:val="TextBasTxt"/>
    <w:basedOn w:val="Style_2"/>
    <w:link w:val="Style_48_ch"/>
    <w:pPr>
      <w:widowControl w:val="1"/>
      <w:ind w:firstLine="567"/>
      <w:jc w:val="both"/>
    </w:pPr>
  </w:style>
  <w:style w:styleId="Style_48_ch" w:type="character">
    <w:name w:val="TextBasTxt"/>
    <w:basedOn w:val="Style_2_ch"/>
    <w:link w:val="Style_48"/>
  </w:style>
  <w:style w:styleId="Style_5" w:type="paragraph">
    <w:name w:val="Normal (Web)"/>
    <w:basedOn w:val="Style_2"/>
    <w:link w:val="Style_5_ch"/>
    <w:pPr>
      <w:widowControl w:val="1"/>
      <w:spacing w:afterAutospacing="on" w:beforeAutospacing="on"/>
      <w:ind/>
    </w:pPr>
  </w:style>
  <w:style w:styleId="Style_5_ch" w:type="character">
    <w:name w:val="Normal (Web)"/>
    <w:basedOn w:val="Style_2_ch"/>
    <w:link w:val="Style_5"/>
  </w:style>
  <w:style w:styleId="Style_49" w:type="paragraph">
    <w:link w:val="Style_49_ch"/>
    <w:semiHidden w:val="1"/>
    <w:unhideWhenUsed w:val="1"/>
    <w:pPr>
      <w:widowControl w:val="1"/>
      <w:spacing w:after="0" w:line="240" w:lineRule="auto"/>
      <w:ind/>
    </w:pPr>
  </w:style>
  <w:style w:styleId="Style_49_ch" w:type="character">
    <w:link w:val="Style_49"/>
    <w:semiHidden w:val="1"/>
    <w:unhideWhenUsed w:val="1"/>
  </w:style>
  <w:style w:styleId="Style_50" w:type="paragraph">
    <w:name w:val="Subtitle"/>
    <w:next w:val="Style_2"/>
    <w:link w:val="Style_50_ch"/>
    <w:uiPriority w:val="11"/>
    <w:qFormat/>
    <w:pPr>
      <w:widowControl w:val="1"/>
      <w:ind/>
      <w:jc w:val="both"/>
    </w:pPr>
    <w:rPr>
      <w:rFonts w:ascii="XO Thames" w:hAnsi="XO Thames"/>
      <w:i w:val="1"/>
      <w:sz w:val="24"/>
    </w:rPr>
  </w:style>
  <w:style w:styleId="Style_50_ch" w:type="character">
    <w:name w:val="Subtitle"/>
    <w:link w:val="Style_50"/>
    <w:rPr>
      <w:rFonts w:ascii="XO Thames" w:hAnsi="XO Thames"/>
      <w:i w:val="1"/>
      <w:sz w:val="24"/>
    </w:rPr>
  </w:style>
  <w:style w:styleId="Style_51" w:type="paragraph">
    <w:name w:val="Title"/>
    <w:next w:val="Style_2"/>
    <w:link w:val="Style_51_ch"/>
    <w:uiPriority w:val="10"/>
    <w:qFormat/>
    <w:pPr>
      <w:widowControl w:val="1"/>
      <w:spacing w:after="567" w:before="567"/>
      <w:ind/>
      <w:jc w:val="center"/>
    </w:pPr>
    <w:rPr>
      <w:rFonts w:ascii="XO Thames" w:hAnsi="XO Thames"/>
      <w:b w:val="1"/>
      <w:caps w:val="1"/>
      <w:sz w:val="40"/>
    </w:rPr>
  </w:style>
  <w:style w:styleId="Style_51_ch" w:type="character">
    <w:name w:val="Title"/>
    <w:link w:val="Style_51"/>
    <w:rPr>
      <w:rFonts w:ascii="XO Thames" w:hAnsi="XO Thames"/>
      <w:b w:val="1"/>
      <w:caps w:val="1"/>
      <w:sz w:val="40"/>
    </w:rPr>
  </w:style>
  <w:style w:styleId="Style_52" w:type="paragraph">
    <w:name w:val="heading 4"/>
    <w:basedOn w:val="Style_2"/>
    <w:next w:val="Style_2"/>
    <w:link w:val="Style_52_ch"/>
    <w:uiPriority w:val="9"/>
    <w:qFormat/>
    <w:pPr>
      <w:keepNext w:val="1"/>
      <w:keepLines w:val="1"/>
      <w:widowControl w:val="1"/>
      <w:spacing w:before="40"/>
      <w:ind/>
      <w:outlineLvl w:val="3"/>
    </w:pPr>
    <w:rPr>
      <w:rFonts w:asciiTheme="majorAscii" w:hAnsiTheme="majorHAnsi"/>
      <w:i w:val="1"/>
      <w:color w:themeColor="accent1" w:themeShade="BF" w:val="2E75B5"/>
    </w:rPr>
  </w:style>
  <w:style w:styleId="Style_52_ch" w:type="character">
    <w:name w:val="heading 4"/>
    <w:basedOn w:val="Style_2_ch"/>
    <w:link w:val="Style_52"/>
    <w:rPr>
      <w:rFonts w:asciiTheme="majorAscii" w:hAnsiTheme="majorHAnsi"/>
      <w:i w:val="1"/>
      <w:color w:themeColor="accent1" w:themeShade="BF" w:val="2E75B5"/>
    </w:rPr>
  </w:style>
  <w:style w:styleId="Style_6" w:type="paragraph">
    <w:name w:val="Гиперссылка1"/>
    <w:link w:val="Style_6_ch"/>
    <w:rPr>
      <w:color w:val="0000FF"/>
      <w:u w:val="single"/>
    </w:rPr>
  </w:style>
  <w:style w:styleId="Style_6_ch" w:type="character">
    <w:name w:val="Гиперссылка1"/>
    <w:link w:val="Style_6"/>
    <w:rPr>
      <w:color w:val="0000FF"/>
      <w:u w:val="single"/>
    </w:rPr>
  </w:style>
  <w:style w:styleId="Style_53" w:type="paragraph">
    <w:name w:val="Знак Знак Знак Знак"/>
    <w:basedOn w:val="Style_2"/>
    <w:link w:val="Style_53_ch"/>
    <w:pPr>
      <w:widowControl w:val="1"/>
      <w:spacing w:after="160" w:line="240" w:lineRule="exact"/>
      <w:ind/>
    </w:pPr>
  </w:style>
  <w:style w:styleId="Style_53_ch" w:type="character">
    <w:name w:val="Знак Знак Знак Знак"/>
    <w:basedOn w:val="Style_2_ch"/>
    <w:link w:val="Style_53"/>
  </w:style>
  <w:style w:styleId="Style_4" w:type="paragraph">
    <w:name w:val="Body Text"/>
    <w:basedOn w:val="Style_2"/>
    <w:link w:val="Style_4_ch"/>
    <w:pPr>
      <w:widowControl w:val="1"/>
      <w:ind/>
      <w:jc w:val="both"/>
    </w:pPr>
  </w:style>
  <w:style w:styleId="Style_4_ch" w:type="character">
    <w:name w:val="Body Text"/>
    <w:basedOn w:val="Style_2_ch"/>
    <w:link w:val="Style_4"/>
  </w:style>
  <w:style w:styleId="Style_54" w:type="paragraph">
    <w:name w:val="heading 2"/>
    <w:basedOn w:val="Style_2"/>
    <w:link w:val="Style_54_ch"/>
    <w:uiPriority w:val="9"/>
    <w:qFormat/>
    <w:pPr>
      <w:widowControl w:val="1"/>
      <w:spacing w:afterAutospacing="on" w:beforeAutospacing="on"/>
      <w:ind/>
      <w:outlineLvl w:val="1"/>
    </w:pPr>
    <w:rPr>
      <w:b w:val="1"/>
      <w:sz w:val="36"/>
    </w:rPr>
  </w:style>
  <w:style w:styleId="Style_54_ch" w:type="character">
    <w:name w:val="heading 2"/>
    <w:basedOn w:val="Style_2_ch"/>
    <w:link w:val="Style_54"/>
    <w:rPr>
      <w:b w:val="1"/>
      <w:sz w:val="36"/>
    </w:rPr>
  </w:style>
  <w:style w:styleId="Style_55" w:type="paragraph">
    <w:name w:val="List Paragraph"/>
    <w:basedOn w:val="Style_2"/>
    <w:link w:val="Style_55_ch"/>
    <w:pPr>
      <w:widowControl w:val="1"/>
      <w:spacing w:after="200" w:line="276" w:lineRule="auto"/>
      <w:ind w:left="720"/>
      <w:contextualSpacing w:val="1"/>
    </w:pPr>
    <w:rPr>
      <w:rFonts w:ascii="Calibri" w:hAnsi="Calibri"/>
      <w:sz w:val="22"/>
    </w:rPr>
  </w:style>
  <w:style w:styleId="Style_55_ch" w:type="character">
    <w:name w:val="List Paragraph"/>
    <w:basedOn w:val="Style_2_ch"/>
    <w:link w:val="Style_55"/>
    <w:rPr>
      <w:rFonts w:ascii="Calibri" w:hAnsi="Calibri"/>
      <w:sz w:val="22"/>
    </w:rPr>
  </w:style>
  <w:style w:styleId="Style_56" w:type="paragraph">
    <w:name w:val="Default Paragraph Font"/>
    <w:link w:val="Style_56_ch"/>
  </w:style>
  <w:style w:styleId="Style_56_ch" w:type="character">
    <w:name w:val="Default Paragraph Font"/>
    <w:link w:val="Style_56"/>
  </w:style>
  <w:style w:styleId="Style_57" w:type="paragraph">
    <w:name w:val="ConsPlusNormal"/>
    <w:link w:val="Style_57_ch"/>
    <w:pPr>
      <w:widowControl w:val="1"/>
      <w:spacing w:after="0" w:line="240" w:lineRule="auto"/>
      <w:ind w:firstLine="720"/>
    </w:pPr>
    <w:rPr>
      <w:rFonts w:ascii="Arial" w:hAnsi="Arial"/>
      <w:sz w:val="20"/>
    </w:rPr>
  </w:style>
  <w:style w:styleId="Style_57_ch" w:type="character">
    <w:name w:val="ConsPlusNormal"/>
    <w:link w:val="Style_57"/>
    <w:rPr>
      <w:rFonts w:ascii="Arial" w:hAnsi="Arial"/>
      <w:sz w:val="20"/>
    </w:rPr>
  </w:style>
  <w:style w:styleId="Style_58" w:type="paragraph">
    <w:name w:val="Номер страницы1"/>
    <w:basedOn w:val="Style_23"/>
    <w:link w:val="Style_58_ch"/>
  </w:style>
  <w:style w:styleId="Style_58_ch" w:type="character">
    <w:name w:val="Номер страницы1"/>
    <w:basedOn w:val="Style_23_ch"/>
    <w:link w:val="Style_58"/>
  </w:style>
  <w:style w:styleId="Style_59" w:type="table">
    <w:name w:val="Леша9"/>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1" w:type="table">
    <w:name w:val="Леша14"/>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2" w:type="table">
    <w:name w:val="Леша6"/>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3" w:type="table">
    <w:name w:val="Леша11"/>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4" w:type="table">
    <w:name w:val="Сетка таблицы3"/>
    <w:basedOn w:val="Style_60"/>
    <w:pPr>
      <w:widowControl w:val="1"/>
      <w:spacing w:after="0" w:line="240" w:lineRule="auto"/>
      <w:ind/>
    </w:pPr>
    <w:rPr>
      <w:rFonts w:ascii="Times New Roman" w:hAnsi="Times New Roman"/>
      <w:sz w:val="20"/>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5" w:type="table">
    <w:name w:val="Леша15"/>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60" w:type="table">
    <w:name w:val="Normal Table"/>
    <w:tblPr>
      <w:tblInd w:type="dxa" w:w="0"/>
      <w:tblCellMar>
        <w:top w:type="dxa" w:w="0"/>
        <w:left w:type="dxa" w:w="108"/>
        <w:bottom w:type="dxa" w:w="0"/>
        <w:right w:type="dxa" w:w="108"/>
      </w:tblCellMar>
    </w:tblPr>
  </w:style>
  <w:style w:styleId="Style_3" w:type="table">
    <w:name w:val="Сетка таблицы4"/>
    <w:basedOn w:val="Style_60"/>
    <w:pPr>
      <w:widowControl w:val="1"/>
      <w:spacing w:after="0" w:line="240" w:lineRule="auto"/>
      <w:ind/>
    </w:pPr>
    <w:rPr>
      <w:rFonts w:ascii="Times New Roman" w:hAnsi="Times New Roman"/>
      <w:sz w:val="20"/>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8" w:type="table">
    <w:name w:val="Леша17"/>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6" w:type="table">
    <w:name w:val="Леша13"/>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7" w:type="table">
    <w:name w:val="Сетка таблицы1"/>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8" w:type="table">
    <w:name w:val="Леша1"/>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9" w:type="table">
    <w:name w:val="Леша8"/>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0" w:type="table">
    <w:name w:val="Леша16"/>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1" w:type="table">
    <w:name w:val="Леша3"/>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2" w:type="table">
    <w:name w:val="Леша4"/>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3" w:type="table">
    <w:name w:val="Леша7"/>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4" w:type="table">
    <w:name w:val="Леша2"/>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5" w:type="table">
    <w:name w:val="Table Grid"/>
    <w:basedOn w:val="Style_60"/>
    <w:pPr>
      <w:widowControl w:val="1"/>
      <w:spacing w:after="0" w:line="240" w:lineRule="auto"/>
      <w:ind/>
    </w:pPr>
    <w:rPr>
      <w:rFonts w:ascii="Calibri" w:hAnsi="Calibri"/>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6" w:type="table">
    <w:name w:val="Леша5"/>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7" w:type="table">
    <w:name w:val="Леша12"/>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8" w:type="table">
    <w:name w:val="Леша171"/>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9" w:type="table">
    <w:name w:val="Леша10"/>
    <w:basedOn w:val="Style_60"/>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2026-07-27T00:34:38Z</dcterms:created>
  <dcterms:modified xsi:type="dcterms:W3CDTF">2026-08-04T07:18:49Z</dcterms:modified>
</cp:coreProperties>
</file>